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2615" w14:textId="388B90A4" w:rsidR="00D5533B" w:rsidRDefault="00D5533B" w:rsidP="00D5533B">
      <w:pPr>
        <w:pStyle w:val="BodyText"/>
        <w:jc w:val="left"/>
      </w:pPr>
      <w:r>
        <w:t>No securities regulatory authority has expressed an opinion about these securities and it is an offence to claim otherwise.</w:t>
      </w:r>
    </w:p>
    <w:p w14:paraId="5D38B998" w14:textId="77777777" w:rsidR="007E2224" w:rsidRDefault="007E2224" w:rsidP="00D5533B">
      <w:pPr>
        <w:pStyle w:val="BodyText"/>
        <w:jc w:val="left"/>
        <w:rPr>
          <w:color w:val="FF0000"/>
          <w:sz w:val="20"/>
          <w:szCs w:val="20"/>
        </w:rPr>
      </w:pPr>
    </w:p>
    <w:p w14:paraId="747B1346" w14:textId="4F260DCD" w:rsidR="00C1325B" w:rsidRDefault="00D5533B" w:rsidP="00C1325B">
      <w:pPr>
        <w:pStyle w:val="BodyText"/>
        <w:spacing w:after="720"/>
        <w:jc w:val="center"/>
        <w:rPr>
          <w:b/>
        </w:rPr>
      </w:pPr>
      <w:r>
        <w:rPr>
          <w:b/>
        </w:rPr>
        <w:t>SIMPLIFIED PROSPECTU</w:t>
      </w:r>
      <w:r w:rsidR="00C1325B">
        <w:rPr>
          <w:b/>
        </w:rPr>
        <w:t>S</w:t>
      </w:r>
      <w:r w:rsidRPr="009825A9">
        <w:rPr>
          <w:b/>
        </w:rPr>
        <w:t xml:space="preserve"> </w:t>
      </w:r>
    </w:p>
    <w:p w14:paraId="436EAEAC" w14:textId="1D037AA3" w:rsidR="00D5533B" w:rsidRDefault="00B55FCA" w:rsidP="00C1325B">
      <w:pPr>
        <w:pStyle w:val="BodyText"/>
        <w:spacing w:after="720"/>
        <w:jc w:val="center"/>
        <w:rPr>
          <w:b/>
        </w:rPr>
      </w:pPr>
      <w:r>
        <w:rPr>
          <w:rFonts w:cstheme="minorHAnsi"/>
          <w:b/>
          <w:bCs/>
          <w:color w:val="000000"/>
        </w:rPr>
        <w:t>May 1</w:t>
      </w:r>
      <w:r w:rsidR="00752539">
        <w:rPr>
          <w:rFonts w:cstheme="minorHAnsi"/>
          <w:b/>
          <w:bCs/>
          <w:color w:val="000000"/>
        </w:rPr>
        <w:t>8</w:t>
      </w:r>
      <w:r w:rsidR="00D5533B">
        <w:rPr>
          <w:rFonts w:ascii="Arial" w:hAnsi="Arial" w:cs="Arial"/>
          <w:b/>
        </w:rPr>
        <w:t xml:space="preserve">, </w:t>
      </w:r>
      <w:r w:rsidR="00176140">
        <w:rPr>
          <w:b/>
        </w:rPr>
        <w:t>2023</w:t>
      </w:r>
    </w:p>
    <w:p w14:paraId="082FDB6C" w14:textId="77777777" w:rsidR="00D5533B" w:rsidRPr="009979DC" w:rsidRDefault="00D5533B" w:rsidP="00D5533B">
      <w:pPr>
        <w:pStyle w:val="BodyText"/>
        <w:jc w:val="center"/>
        <w:rPr>
          <w:b/>
        </w:rPr>
      </w:pPr>
      <w:r w:rsidRPr="009979DC">
        <w:rPr>
          <w:b/>
        </w:rPr>
        <w:t xml:space="preserve">BARRANTAGH SMALL CAP </w:t>
      </w:r>
      <w:r>
        <w:rPr>
          <w:b/>
        </w:rPr>
        <w:t xml:space="preserve">CANADIAN EQUITY </w:t>
      </w:r>
      <w:r w:rsidRPr="009979DC">
        <w:rPr>
          <w:b/>
        </w:rPr>
        <w:t>FUND</w:t>
      </w:r>
    </w:p>
    <w:p w14:paraId="2F017708" w14:textId="77777777" w:rsidR="00D5533B" w:rsidRPr="009825A9" w:rsidRDefault="00D5533B" w:rsidP="00D5533B">
      <w:pPr>
        <w:pStyle w:val="BodyText"/>
        <w:spacing w:after="720"/>
        <w:jc w:val="center"/>
        <w:rPr>
          <w:b/>
        </w:rPr>
      </w:pPr>
      <w:r w:rsidRPr="009825A9">
        <w:rPr>
          <w:b/>
        </w:rPr>
        <w:t xml:space="preserve">Offering </w:t>
      </w:r>
      <w:proofErr w:type="gramStart"/>
      <w:r>
        <w:rPr>
          <w:b/>
        </w:rPr>
        <w:t>Series</w:t>
      </w:r>
      <w:proofErr w:type="gramEnd"/>
      <w:r>
        <w:rPr>
          <w:b/>
        </w:rPr>
        <w:t xml:space="preserve"> A Units, </w:t>
      </w:r>
      <w:r w:rsidRPr="009825A9">
        <w:rPr>
          <w:b/>
        </w:rPr>
        <w:t xml:space="preserve">Series F </w:t>
      </w:r>
      <w:r>
        <w:rPr>
          <w:b/>
        </w:rPr>
        <w:t xml:space="preserve">Units </w:t>
      </w:r>
      <w:r w:rsidRPr="009825A9">
        <w:rPr>
          <w:b/>
        </w:rPr>
        <w:t xml:space="preserve">and </w:t>
      </w:r>
      <w:r>
        <w:rPr>
          <w:b/>
        </w:rPr>
        <w:t>Series O</w:t>
      </w:r>
      <w:r w:rsidRPr="009825A9">
        <w:rPr>
          <w:b/>
        </w:rPr>
        <w:t xml:space="preserve"> Units</w:t>
      </w:r>
    </w:p>
    <w:p w14:paraId="66403B9B" w14:textId="77777777" w:rsidR="00D5533B" w:rsidRPr="009825A9" w:rsidRDefault="00D5533B" w:rsidP="00D5533B">
      <w:pPr>
        <w:pStyle w:val="BodyText"/>
        <w:spacing w:after="720"/>
        <w:jc w:val="center"/>
        <w:rPr>
          <w:b/>
        </w:rPr>
      </w:pPr>
    </w:p>
    <w:p w14:paraId="493B9102" w14:textId="77777777" w:rsidR="00D5533B" w:rsidRDefault="00D5533B" w:rsidP="00D5533B">
      <w:pPr>
        <w:pStyle w:val="BodyText"/>
        <w:jc w:val="left"/>
        <w:sectPr w:rsidR="00D5533B" w:rsidSect="009075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bookmarkStart w:id="0" w:name="_Hlk64986091"/>
    </w:p>
    <w:bookmarkEnd w:id="0"/>
    <w:p w14:paraId="4894CB5A" w14:textId="02AFD458" w:rsidR="003F784C" w:rsidRDefault="00D5533B">
      <w:pPr>
        <w:pStyle w:val="TOC1"/>
        <w:tabs>
          <w:tab w:val="right" w:leader="dot" w:pos="9350"/>
        </w:tabs>
        <w:rPr>
          <w:rFonts w:eastAsiaTheme="minorEastAsia"/>
          <w:b w:val="0"/>
          <w:noProof/>
          <w:lang w:val="en-US"/>
        </w:rPr>
      </w:pPr>
      <w:r>
        <w:lastRenderedPageBreak/>
        <w:fldChar w:fldCharType="begin"/>
      </w:r>
      <w:r>
        <w:instrText xml:space="preserve"> TOC \f c \h \t "Heading 1,1, Heading 2,2" </w:instrText>
      </w:r>
      <w:r>
        <w:fldChar w:fldCharType="separate"/>
      </w:r>
      <w:hyperlink w:anchor="_Toc133828627" w:history="1">
        <w:r w:rsidR="003F784C" w:rsidRPr="00EE2438">
          <w:rPr>
            <w:rStyle w:val="Hyperlink"/>
            <w:noProof/>
          </w:rPr>
          <w:t>Introduction</w:t>
        </w:r>
        <w:r w:rsidR="003F784C">
          <w:rPr>
            <w:noProof/>
          </w:rPr>
          <w:tab/>
        </w:r>
        <w:r w:rsidR="003F784C">
          <w:rPr>
            <w:noProof/>
          </w:rPr>
          <w:fldChar w:fldCharType="begin"/>
        </w:r>
        <w:r w:rsidR="003F784C">
          <w:rPr>
            <w:noProof/>
          </w:rPr>
          <w:instrText xml:space="preserve"> PAGEREF _Toc133828627 \h </w:instrText>
        </w:r>
        <w:r w:rsidR="003F784C">
          <w:rPr>
            <w:noProof/>
          </w:rPr>
        </w:r>
        <w:r w:rsidR="003F784C">
          <w:rPr>
            <w:noProof/>
          </w:rPr>
          <w:fldChar w:fldCharType="separate"/>
        </w:r>
        <w:r w:rsidR="003F784C">
          <w:rPr>
            <w:noProof/>
          </w:rPr>
          <w:t>1</w:t>
        </w:r>
        <w:r w:rsidR="003F784C">
          <w:rPr>
            <w:noProof/>
          </w:rPr>
          <w:fldChar w:fldCharType="end"/>
        </w:r>
      </w:hyperlink>
    </w:p>
    <w:p w14:paraId="0F4A292B" w14:textId="7AA29B59" w:rsidR="003F784C" w:rsidRDefault="00752539">
      <w:pPr>
        <w:pStyle w:val="TOC1"/>
        <w:tabs>
          <w:tab w:val="right" w:leader="dot" w:pos="9350"/>
        </w:tabs>
        <w:rPr>
          <w:rFonts w:eastAsiaTheme="minorEastAsia"/>
          <w:b w:val="0"/>
          <w:noProof/>
          <w:lang w:val="en-US"/>
        </w:rPr>
      </w:pPr>
      <w:hyperlink w:anchor="_Toc133828628" w:history="1">
        <w:r w:rsidR="003F784C" w:rsidRPr="00EE2438">
          <w:rPr>
            <w:rStyle w:val="Hyperlink"/>
            <w:rFonts w:cstheme="minorHAnsi"/>
            <w:noProof/>
          </w:rPr>
          <w:t>Responsibility for Fund Operations</w:t>
        </w:r>
        <w:r w:rsidR="003F784C">
          <w:rPr>
            <w:noProof/>
          </w:rPr>
          <w:tab/>
        </w:r>
        <w:r w:rsidR="003F784C">
          <w:rPr>
            <w:noProof/>
          </w:rPr>
          <w:fldChar w:fldCharType="begin"/>
        </w:r>
        <w:r w:rsidR="003F784C">
          <w:rPr>
            <w:noProof/>
          </w:rPr>
          <w:instrText xml:space="preserve"> PAGEREF _Toc133828628 \h </w:instrText>
        </w:r>
        <w:r w:rsidR="003F784C">
          <w:rPr>
            <w:noProof/>
          </w:rPr>
        </w:r>
        <w:r w:rsidR="003F784C">
          <w:rPr>
            <w:noProof/>
          </w:rPr>
          <w:fldChar w:fldCharType="separate"/>
        </w:r>
        <w:r w:rsidR="003F784C">
          <w:rPr>
            <w:noProof/>
          </w:rPr>
          <w:t>2</w:t>
        </w:r>
        <w:r w:rsidR="003F784C">
          <w:rPr>
            <w:noProof/>
          </w:rPr>
          <w:fldChar w:fldCharType="end"/>
        </w:r>
      </w:hyperlink>
    </w:p>
    <w:p w14:paraId="2B1A188F" w14:textId="08089157" w:rsidR="003F784C" w:rsidRDefault="00752539">
      <w:pPr>
        <w:pStyle w:val="TOC1"/>
        <w:tabs>
          <w:tab w:val="right" w:leader="dot" w:pos="9350"/>
        </w:tabs>
        <w:rPr>
          <w:rFonts w:eastAsiaTheme="minorEastAsia"/>
          <w:b w:val="0"/>
          <w:noProof/>
          <w:lang w:val="en-US"/>
        </w:rPr>
      </w:pPr>
      <w:hyperlink w:anchor="_Toc133828629" w:history="1">
        <w:r w:rsidR="003F784C" w:rsidRPr="00EE2438">
          <w:rPr>
            <w:rStyle w:val="Hyperlink"/>
            <w:rFonts w:cstheme="minorHAnsi"/>
            <w:noProof/>
          </w:rPr>
          <w:t>Conflicts of Interest</w:t>
        </w:r>
        <w:r w:rsidR="003F784C">
          <w:rPr>
            <w:noProof/>
          </w:rPr>
          <w:tab/>
        </w:r>
        <w:r w:rsidR="003F784C">
          <w:rPr>
            <w:noProof/>
          </w:rPr>
          <w:fldChar w:fldCharType="begin"/>
        </w:r>
        <w:r w:rsidR="003F784C">
          <w:rPr>
            <w:noProof/>
          </w:rPr>
          <w:instrText xml:space="preserve"> PAGEREF _Toc133828629 \h </w:instrText>
        </w:r>
        <w:r w:rsidR="003F784C">
          <w:rPr>
            <w:noProof/>
          </w:rPr>
        </w:r>
        <w:r w:rsidR="003F784C">
          <w:rPr>
            <w:noProof/>
          </w:rPr>
          <w:fldChar w:fldCharType="separate"/>
        </w:r>
        <w:r w:rsidR="003F784C">
          <w:rPr>
            <w:noProof/>
          </w:rPr>
          <w:t>7</w:t>
        </w:r>
        <w:r w:rsidR="003F784C">
          <w:rPr>
            <w:noProof/>
          </w:rPr>
          <w:fldChar w:fldCharType="end"/>
        </w:r>
      </w:hyperlink>
    </w:p>
    <w:p w14:paraId="232CF9CC" w14:textId="56592E7C" w:rsidR="003F784C" w:rsidRDefault="00752539">
      <w:pPr>
        <w:pStyle w:val="TOC1"/>
        <w:tabs>
          <w:tab w:val="right" w:leader="dot" w:pos="9350"/>
        </w:tabs>
        <w:rPr>
          <w:rFonts w:eastAsiaTheme="minorEastAsia"/>
          <w:b w:val="0"/>
          <w:noProof/>
          <w:lang w:val="en-US"/>
        </w:rPr>
      </w:pPr>
      <w:hyperlink w:anchor="_Toc133828630" w:history="1">
        <w:r w:rsidR="003F784C" w:rsidRPr="00EE2438">
          <w:rPr>
            <w:rStyle w:val="Hyperlink"/>
            <w:rFonts w:cstheme="minorHAnsi"/>
            <w:noProof/>
          </w:rPr>
          <w:t>Fund Governance</w:t>
        </w:r>
        <w:r w:rsidR="003F784C">
          <w:rPr>
            <w:noProof/>
          </w:rPr>
          <w:tab/>
        </w:r>
        <w:r w:rsidR="003F784C">
          <w:rPr>
            <w:noProof/>
          </w:rPr>
          <w:fldChar w:fldCharType="begin"/>
        </w:r>
        <w:r w:rsidR="003F784C">
          <w:rPr>
            <w:noProof/>
          </w:rPr>
          <w:instrText xml:space="preserve"> PAGEREF _Toc133828630 \h </w:instrText>
        </w:r>
        <w:r w:rsidR="003F784C">
          <w:rPr>
            <w:noProof/>
          </w:rPr>
        </w:r>
        <w:r w:rsidR="003F784C">
          <w:rPr>
            <w:noProof/>
          </w:rPr>
          <w:fldChar w:fldCharType="separate"/>
        </w:r>
        <w:r w:rsidR="003F784C">
          <w:rPr>
            <w:noProof/>
          </w:rPr>
          <w:t>7</w:t>
        </w:r>
        <w:r w:rsidR="003F784C">
          <w:rPr>
            <w:noProof/>
          </w:rPr>
          <w:fldChar w:fldCharType="end"/>
        </w:r>
      </w:hyperlink>
    </w:p>
    <w:p w14:paraId="0F77C467" w14:textId="7198F3AF" w:rsidR="003F784C" w:rsidRDefault="00752539">
      <w:pPr>
        <w:pStyle w:val="TOC1"/>
        <w:tabs>
          <w:tab w:val="right" w:leader="dot" w:pos="9350"/>
        </w:tabs>
        <w:rPr>
          <w:rFonts w:eastAsiaTheme="minorEastAsia"/>
          <w:b w:val="0"/>
          <w:noProof/>
          <w:lang w:val="en-US"/>
        </w:rPr>
      </w:pPr>
      <w:hyperlink w:anchor="_Toc133828631" w:history="1">
        <w:r w:rsidR="003F784C" w:rsidRPr="00EE2438">
          <w:rPr>
            <w:rStyle w:val="Hyperlink"/>
            <w:rFonts w:cstheme="minorHAnsi"/>
            <w:noProof/>
          </w:rPr>
          <w:t>Remuneration of Directors, Officers and Trustees</w:t>
        </w:r>
        <w:r w:rsidR="003F784C">
          <w:rPr>
            <w:noProof/>
          </w:rPr>
          <w:tab/>
        </w:r>
        <w:r w:rsidR="003F784C">
          <w:rPr>
            <w:noProof/>
          </w:rPr>
          <w:fldChar w:fldCharType="begin"/>
        </w:r>
        <w:r w:rsidR="003F784C">
          <w:rPr>
            <w:noProof/>
          </w:rPr>
          <w:instrText xml:space="preserve"> PAGEREF _Toc133828631 \h </w:instrText>
        </w:r>
        <w:r w:rsidR="003F784C">
          <w:rPr>
            <w:noProof/>
          </w:rPr>
        </w:r>
        <w:r w:rsidR="003F784C">
          <w:rPr>
            <w:noProof/>
          </w:rPr>
          <w:fldChar w:fldCharType="separate"/>
        </w:r>
        <w:r w:rsidR="003F784C">
          <w:rPr>
            <w:noProof/>
          </w:rPr>
          <w:t>9</w:t>
        </w:r>
        <w:r w:rsidR="003F784C">
          <w:rPr>
            <w:noProof/>
          </w:rPr>
          <w:fldChar w:fldCharType="end"/>
        </w:r>
      </w:hyperlink>
    </w:p>
    <w:p w14:paraId="00B66D3A" w14:textId="2108CED3" w:rsidR="003F784C" w:rsidRDefault="00752539">
      <w:pPr>
        <w:pStyle w:val="TOC1"/>
        <w:tabs>
          <w:tab w:val="right" w:leader="dot" w:pos="9350"/>
        </w:tabs>
        <w:rPr>
          <w:rFonts w:eastAsiaTheme="minorEastAsia"/>
          <w:b w:val="0"/>
          <w:noProof/>
          <w:lang w:val="en-US"/>
        </w:rPr>
      </w:pPr>
      <w:hyperlink w:anchor="_Toc133828632" w:history="1">
        <w:r w:rsidR="003F784C" w:rsidRPr="00EE2438">
          <w:rPr>
            <w:rStyle w:val="Hyperlink"/>
            <w:rFonts w:cstheme="minorHAnsi"/>
            <w:noProof/>
          </w:rPr>
          <w:t>Material Contracts</w:t>
        </w:r>
        <w:r w:rsidR="003F784C">
          <w:rPr>
            <w:noProof/>
          </w:rPr>
          <w:tab/>
        </w:r>
        <w:r w:rsidR="003F784C">
          <w:rPr>
            <w:noProof/>
          </w:rPr>
          <w:fldChar w:fldCharType="begin"/>
        </w:r>
        <w:r w:rsidR="003F784C">
          <w:rPr>
            <w:noProof/>
          </w:rPr>
          <w:instrText xml:space="preserve"> PAGEREF _Toc133828632 \h </w:instrText>
        </w:r>
        <w:r w:rsidR="003F784C">
          <w:rPr>
            <w:noProof/>
          </w:rPr>
        </w:r>
        <w:r w:rsidR="003F784C">
          <w:rPr>
            <w:noProof/>
          </w:rPr>
          <w:fldChar w:fldCharType="separate"/>
        </w:r>
        <w:r w:rsidR="003F784C">
          <w:rPr>
            <w:noProof/>
          </w:rPr>
          <w:t>9</w:t>
        </w:r>
        <w:r w:rsidR="003F784C">
          <w:rPr>
            <w:noProof/>
          </w:rPr>
          <w:fldChar w:fldCharType="end"/>
        </w:r>
      </w:hyperlink>
    </w:p>
    <w:p w14:paraId="7188FA52" w14:textId="7DB774FC" w:rsidR="003F784C" w:rsidRDefault="00752539">
      <w:pPr>
        <w:pStyle w:val="TOC1"/>
        <w:tabs>
          <w:tab w:val="right" w:leader="dot" w:pos="9350"/>
        </w:tabs>
        <w:rPr>
          <w:rFonts w:eastAsiaTheme="minorEastAsia"/>
          <w:b w:val="0"/>
          <w:noProof/>
          <w:lang w:val="en-US"/>
        </w:rPr>
      </w:pPr>
      <w:hyperlink w:anchor="_Toc133828633" w:history="1">
        <w:r w:rsidR="003F784C" w:rsidRPr="00EE2438">
          <w:rPr>
            <w:rStyle w:val="Hyperlink"/>
            <w:rFonts w:cstheme="minorHAnsi"/>
            <w:noProof/>
          </w:rPr>
          <w:t>Designated Website</w:t>
        </w:r>
        <w:r w:rsidR="003F784C">
          <w:rPr>
            <w:noProof/>
          </w:rPr>
          <w:tab/>
        </w:r>
        <w:r w:rsidR="003F784C">
          <w:rPr>
            <w:noProof/>
          </w:rPr>
          <w:fldChar w:fldCharType="begin"/>
        </w:r>
        <w:r w:rsidR="003F784C">
          <w:rPr>
            <w:noProof/>
          </w:rPr>
          <w:instrText xml:space="preserve"> PAGEREF _Toc133828633 \h </w:instrText>
        </w:r>
        <w:r w:rsidR="003F784C">
          <w:rPr>
            <w:noProof/>
          </w:rPr>
        </w:r>
        <w:r w:rsidR="003F784C">
          <w:rPr>
            <w:noProof/>
          </w:rPr>
          <w:fldChar w:fldCharType="separate"/>
        </w:r>
        <w:r w:rsidR="003F784C">
          <w:rPr>
            <w:noProof/>
          </w:rPr>
          <w:t>9</w:t>
        </w:r>
        <w:r w:rsidR="003F784C">
          <w:rPr>
            <w:noProof/>
          </w:rPr>
          <w:fldChar w:fldCharType="end"/>
        </w:r>
      </w:hyperlink>
    </w:p>
    <w:p w14:paraId="2EF81B18" w14:textId="37563384" w:rsidR="003F784C" w:rsidRDefault="00752539">
      <w:pPr>
        <w:pStyle w:val="TOC1"/>
        <w:tabs>
          <w:tab w:val="right" w:leader="dot" w:pos="9350"/>
        </w:tabs>
        <w:rPr>
          <w:rFonts w:eastAsiaTheme="minorEastAsia"/>
          <w:b w:val="0"/>
          <w:noProof/>
          <w:lang w:val="en-US"/>
        </w:rPr>
      </w:pPr>
      <w:hyperlink w:anchor="_Toc133828634" w:history="1">
        <w:r w:rsidR="003F784C" w:rsidRPr="00EE2438">
          <w:rPr>
            <w:rStyle w:val="Hyperlink"/>
            <w:rFonts w:cstheme="minorHAnsi"/>
            <w:noProof/>
          </w:rPr>
          <w:t>Valuation of Portfolio Securities</w:t>
        </w:r>
        <w:r w:rsidR="003F784C">
          <w:rPr>
            <w:noProof/>
          </w:rPr>
          <w:tab/>
        </w:r>
        <w:r w:rsidR="003F784C">
          <w:rPr>
            <w:noProof/>
          </w:rPr>
          <w:fldChar w:fldCharType="begin"/>
        </w:r>
        <w:r w:rsidR="003F784C">
          <w:rPr>
            <w:noProof/>
          </w:rPr>
          <w:instrText xml:space="preserve"> PAGEREF _Toc133828634 \h </w:instrText>
        </w:r>
        <w:r w:rsidR="003F784C">
          <w:rPr>
            <w:noProof/>
          </w:rPr>
        </w:r>
        <w:r w:rsidR="003F784C">
          <w:rPr>
            <w:noProof/>
          </w:rPr>
          <w:fldChar w:fldCharType="separate"/>
        </w:r>
        <w:r w:rsidR="003F784C">
          <w:rPr>
            <w:noProof/>
          </w:rPr>
          <w:t>9</w:t>
        </w:r>
        <w:r w:rsidR="003F784C">
          <w:rPr>
            <w:noProof/>
          </w:rPr>
          <w:fldChar w:fldCharType="end"/>
        </w:r>
      </w:hyperlink>
    </w:p>
    <w:p w14:paraId="7F343E1C" w14:textId="260D0716" w:rsidR="003F784C" w:rsidRDefault="00752539">
      <w:pPr>
        <w:pStyle w:val="TOC1"/>
        <w:tabs>
          <w:tab w:val="right" w:leader="dot" w:pos="9350"/>
        </w:tabs>
        <w:rPr>
          <w:rFonts w:eastAsiaTheme="minorEastAsia"/>
          <w:b w:val="0"/>
          <w:noProof/>
          <w:lang w:val="en-US"/>
        </w:rPr>
      </w:pPr>
      <w:hyperlink w:anchor="_Toc133828635" w:history="1">
        <w:r w:rsidR="003F784C" w:rsidRPr="00EE2438">
          <w:rPr>
            <w:rStyle w:val="Hyperlink"/>
            <w:rFonts w:cstheme="minorHAnsi"/>
            <w:noProof/>
          </w:rPr>
          <w:t>Calculation of Net Asset Value</w:t>
        </w:r>
        <w:r w:rsidR="003F784C">
          <w:rPr>
            <w:noProof/>
          </w:rPr>
          <w:tab/>
        </w:r>
        <w:r w:rsidR="003F784C">
          <w:rPr>
            <w:noProof/>
          </w:rPr>
          <w:fldChar w:fldCharType="begin"/>
        </w:r>
        <w:r w:rsidR="003F784C">
          <w:rPr>
            <w:noProof/>
          </w:rPr>
          <w:instrText xml:space="preserve"> PAGEREF _Toc133828635 \h </w:instrText>
        </w:r>
        <w:r w:rsidR="003F784C">
          <w:rPr>
            <w:noProof/>
          </w:rPr>
        </w:r>
        <w:r w:rsidR="003F784C">
          <w:rPr>
            <w:noProof/>
          </w:rPr>
          <w:fldChar w:fldCharType="separate"/>
        </w:r>
        <w:r w:rsidR="003F784C">
          <w:rPr>
            <w:noProof/>
          </w:rPr>
          <w:t>10</w:t>
        </w:r>
        <w:r w:rsidR="003F784C">
          <w:rPr>
            <w:noProof/>
          </w:rPr>
          <w:fldChar w:fldCharType="end"/>
        </w:r>
      </w:hyperlink>
    </w:p>
    <w:p w14:paraId="123FA293" w14:textId="2176E65A" w:rsidR="003F784C" w:rsidRDefault="00752539">
      <w:pPr>
        <w:pStyle w:val="TOC1"/>
        <w:tabs>
          <w:tab w:val="right" w:leader="dot" w:pos="9350"/>
        </w:tabs>
        <w:rPr>
          <w:rFonts w:eastAsiaTheme="minorEastAsia"/>
          <w:b w:val="0"/>
          <w:noProof/>
          <w:lang w:val="en-US"/>
        </w:rPr>
      </w:pPr>
      <w:hyperlink w:anchor="_Toc133828636" w:history="1">
        <w:r w:rsidR="003F784C" w:rsidRPr="00EE2438">
          <w:rPr>
            <w:rStyle w:val="Hyperlink"/>
            <w:noProof/>
          </w:rPr>
          <w:t>Purchases, Switches and Redemptions</w:t>
        </w:r>
        <w:r w:rsidR="003F784C">
          <w:rPr>
            <w:noProof/>
          </w:rPr>
          <w:tab/>
        </w:r>
        <w:r w:rsidR="003F784C">
          <w:rPr>
            <w:noProof/>
          </w:rPr>
          <w:fldChar w:fldCharType="begin"/>
        </w:r>
        <w:r w:rsidR="003F784C">
          <w:rPr>
            <w:noProof/>
          </w:rPr>
          <w:instrText xml:space="preserve"> PAGEREF _Toc133828636 \h </w:instrText>
        </w:r>
        <w:r w:rsidR="003F784C">
          <w:rPr>
            <w:noProof/>
          </w:rPr>
        </w:r>
        <w:r w:rsidR="003F784C">
          <w:rPr>
            <w:noProof/>
          </w:rPr>
          <w:fldChar w:fldCharType="separate"/>
        </w:r>
        <w:r w:rsidR="003F784C">
          <w:rPr>
            <w:noProof/>
          </w:rPr>
          <w:t>11</w:t>
        </w:r>
        <w:r w:rsidR="003F784C">
          <w:rPr>
            <w:noProof/>
          </w:rPr>
          <w:fldChar w:fldCharType="end"/>
        </w:r>
      </w:hyperlink>
    </w:p>
    <w:p w14:paraId="2E4C922F" w14:textId="0963A2A4" w:rsidR="003F784C" w:rsidRDefault="00752539">
      <w:pPr>
        <w:pStyle w:val="TOC2"/>
        <w:tabs>
          <w:tab w:val="right" w:leader="dot" w:pos="9350"/>
        </w:tabs>
        <w:rPr>
          <w:rFonts w:eastAsiaTheme="minorEastAsia"/>
          <w:noProof/>
          <w:lang w:val="en-US"/>
        </w:rPr>
      </w:pPr>
      <w:hyperlink w:anchor="_Toc133828637" w:history="1">
        <w:r w:rsidR="003F784C" w:rsidRPr="00EE2438">
          <w:rPr>
            <w:rStyle w:val="Hyperlink"/>
            <w:noProof/>
          </w:rPr>
          <w:t>Units of the Fund</w:t>
        </w:r>
        <w:r w:rsidR="003F784C">
          <w:rPr>
            <w:noProof/>
          </w:rPr>
          <w:tab/>
        </w:r>
        <w:r w:rsidR="003F784C">
          <w:rPr>
            <w:noProof/>
          </w:rPr>
          <w:fldChar w:fldCharType="begin"/>
        </w:r>
        <w:r w:rsidR="003F784C">
          <w:rPr>
            <w:noProof/>
          </w:rPr>
          <w:instrText xml:space="preserve"> PAGEREF _Toc133828637 \h </w:instrText>
        </w:r>
        <w:r w:rsidR="003F784C">
          <w:rPr>
            <w:noProof/>
          </w:rPr>
        </w:r>
        <w:r w:rsidR="003F784C">
          <w:rPr>
            <w:noProof/>
          </w:rPr>
          <w:fldChar w:fldCharType="separate"/>
        </w:r>
        <w:r w:rsidR="003F784C">
          <w:rPr>
            <w:noProof/>
          </w:rPr>
          <w:t>11</w:t>
        </w:r>
        <w:r w:rsidR="003F784C">
          <w:rPr>
            <w:noProof/>
          </w:rPr>
          <w:fldChar w:fldCharType="end"/>
        </w:r>
      </w:hyperlink>
    </w:p>
    <w:p w14:paraId="4A90D211" w14:textId="77D0EC20" w:rsidR="003F784C" w:rsidRDefault="00752539">
      <w:pPr>
        <w:pStyle w:val="TOC2"/>
        <w:tabs>
          <w:tab w:val="right" w:leader="dot" w:pos="9350"/>
        </w:tabs>
        <w:rPr>
          <w:rFonts w:eastAsiaTheme="minorEastAsia"/>
          <w:noProof/>
          <w:lang w:val="en-US"/>
        </w:rPr>
      </w:pPr>
      <w:hyperlink w:anchor="_Toc133828638" w:history="1">
        <w:r w:rsidR="003F784C" w:rsidRPr="00EE2438">
          <w:rPr>
            <w:rStyle w:val="Hyperlink"/>
            <w:noProof/>
          </w:rPr>
          <w:t>Purchasing Units of the Fund</w:t>
        </w:r>
        <w:r w:rsidR="003F784C">
          <w:rPr>
            <w:noProof/>
          </w:rPr>
          <w:tab/>
        </w:r>
        <w:r w:rsidR="003F784C">
          <w:rPr>
            <w:noProof/>
          </w:rPr>
          <w:fldChar w:fldCharType="begin"/>
        </w:r>
        <w:r w:rsidR="003F784C">
          <w:rPr>
            <w:noProof/>
          </w:rPr>
          <w:instrText xml:space="preserve"> PAGEREF _Toc133828638 \h </w:instrText>
        </w:r>
        <w:r w:rsidR="003F784C">
          <w:rPr>
            <w:noProof/>
          </w:rPr>
        </w:r>
        <w:r w:rsidR="003F784C">
          <w:rPr>
            <w:noProof/>
          </w:rPr>
          <w:fldChar w:fldCharType="separate"/>
        </w:r>
        <w:r w:rsidR="003F784C">
          <w:rPr>
            <w:noProof/>
          </w:rPr>
          <w:t>11</w:t>
        </w:r>
        <w:r w:rsidR="003F784C">
          <w:rPr>
            <w:noProof/>
          </w:rPr>
          <w:fldChar w:fldCharType="end"/>
        </w:r>
      </w:hyperlink>
    </w:p>
    <w:p w14:paraId="30D7AA79" w14:textId="1741BDD8" w:rsidR="003F784C" w:rsidRDefault="00752539">
      <w:pPr>
        <w:pStyle w:val="TOC2"/>
        <w:tabs>
          <w:tab w:val="right" w:leader="dot" w:pos="9350"/>
        </w:tabs>
        <w:rPr>
          <w:rFonts w:eastAsiaTheme="minorEastAsia"/>
          <w:noProof/>
          <w:lang w:val="en-US"/>
        </w:rPr>
      </w:pPr>
      <w:hyperlink w:anchor="_Toc133828639" w:history="1">
        <w:r w:rsidR="003F784C" w:rsidRPr="00EE2438">
          <w:rPr>
            <w:rStyle w:val="Hyperlink"/>
            <w:noProof/>
          </w:rPr>
          <w:t>Switch Rights</w:t>
        </w:r>
        <w:r w:rsidR="003F784C">
          <w:rPr>
            <w:noProof/>
          </w:rPr>
          <w:tab/>
        </w:r>
        <w:r w:rsidR="003F784C">
          <w:rPr>
            <w:noProof/>
          </w:rPr>
          <w:fldChar w:fldCharType="begin"/>
        </w:r>
        <w:r w:rsidR="003F784C">
          <w:rPr>
            <w:noProof/>
          </w:rPr>
          <w:instrText xml:space="preserve"> PAGEREF _Toc133828639 \h </w:instrText>
        </w:r>
        <w:r w:rsidR="003F784C">
          <w:rPr>
            <w:noProof/>
          </w:rPr>
        </w:r>
        <w:r w:rsidR="003F784C">
          <w:rPr>
            <w:noProof/>
          </w:rPr>
          <w:fldChar w:fldCharType="separate"/>
        </w:r>
        <w:r w:rsidR="003F784C">
          <w:rPr>
            <w:noProof/>
          </w:rPr>
          <w:t>12</w:t>
        </w:r>
        <w:r w:rsidR="003F784C">
          <w:rPr>
            <w:noProof/>
          </w:rPr>
          <w:fldChar w:fldCharType="end"/>
        </w:r>
      </w:hyperlink>
    </w:p>
    <w:p w14:paraId="5CB3A4B2" w14:textId="402C0824" w:rsidR="003F784C" w:rsidRDefault="00752539">
      <w:pPr>
        <w:pStyle w:val="TOC2"/>
        <w:tabs>
          <w:tab w:val="right" w:leader="dot" w:pos="9350"/>
        </w:tabs>
        <w:rPr>
          <w:rFonts w:eastAsiaTheme="minorEastAsia"/>
          <w:noProof/>
          <w:lang w:val="en-US"/>
        </w:rPr>
      </w:pPr>
      <w:hyperlink w:anchor="_Toc133828640" w:history="1">
        <w:r w:rsidR="003F784C" w:rsidRPr="00EE2438">
          <w:rPr>
            <w:rStyle w:val="Hyperlink"/>
            <w:noProof/>
          </w:rPr>
          <w:t>Redeeming Units of the Fund</w:t>
        </w:r>
        <w:r w:rsidR="003F784C">
          <w:rPr>
            <w:noProof/>
          </w:rPr>
          <w:tab/>
        </w:r>
        <w:r w:rsidR="003F784C">
          <w:rPr>
            <w:noProof/>
          </w:rPr>
          <w:fldChar w:fldCharType="begin"/>
        </w:r>
        <w:r w:rsidR="003F784C">
          <w:rPr>
            <w:noProof/>
          </w:rPr>
          <w:instrText xml:space="preserve"> PAGEREF _Toc133828640 \h </w:instrText>
        </w:r>
        <w:r w:rsidR="003F784C">
          <w:rPr>
            <w:noProof/>
          </w:rPr>
        </w:r>
        <w:r w:rsidR="003F784C">
          <w:rPr>
            <w:noProof/>
          </w:rPr>
          <w:fldChar w:fldCharType="separate"/>
        </w:r>
        <w:r w:rsidR="003F784C">
          <w:rPr>
            <w:noProof/>
          </w:rPr>
          <w:t>12</w:t>
        </w:r>
        <w:r w:rsidR="003F784C">
          <w:rPr>
            <w:noProof/>
          </w:rPr>
          <w:fldChar w:fldCharType="end"/>
        </w:r>
      </w:hyperlink>
    </w:p>
    <w:p w14:paraId="72C2181A" w14:textId="65178579" w:rsidR="003F784C" w:rsidRDefault="00752539">
      <w:pPr>
        <w:pStyle w:val="TOC2"/>
        <w:tabs>
          <w:tab w:val="right" w:leader="dot" w:pos="9350"/>
        </w:tabs>
        <w:rPr>
          <w:rFonts w:eastAsiaTheme="minorEastAsia"/>
          <w:noProof/>
          <w:lang w:val="en-US"/>
        </w:rPr>
      </w:pPr>
      <w:hyperlink w:anchor="_Toc133828641" w:history="1">
        <w:r w:rsidR="003F784C" w:rsidRPr="00EE2438">
          <w:rPr>
            <w:rStyle w:val="Hyperlink"/>
            <w:noProof/>
          </w:rPr>
          <w:t>Short Term Trading</w:t>
        </w:r>
        <w:r w:rsidR="003F784C">
          <w:rPr>
            <w:noProof/>
          </w:rPr>
          <w:tab/>
        </w:r>
        <w:r w:rsidR="003F784C">
          <w:rPr>
            <w:noProof/>
          </w:rPr>
          <w:fldChar w:fldCharType="begin"/>
        </w:r>
        <w:r w:rsidR="003F784C">
          <w:rPr>
            <w:noProof/>
          </w:rPr>
          <w:instrText xml:space="preserve"> PAGEREF _Toc133828641 \h </w:instrText>
        </w:r>
        <w:r w:rsidR="003F784C">
          <w:rPr>
            <w:noProof/>
          </w:rPr>
        </w:r>
        <w:r w:rsidR="003F784C">
          <w:rPr>
            <w:noProof/>
          </w:rPr>
          <w:fldChar w:fldCharType="separate"/>
        </w:r>
        <w:r w:rsidR="003F784C">
          <w:rPr>
            <w:noProof/>
          </w:rPr>
          <w:t>14</w:t>
        </w:r>
        <w:r w:rsidR="003F784C">
          <w:rPr>
            <w:noProof/>
          </w:rPr>
          <w:fldChar w:fldCharType="end"/>
        </w:r>
      </w:hyperlink>
    </w:p>
    <w:p w14:paraId="1B239CAD" w14:textId="6F934BAF" w:rsidR="003F784C" w:rsidRDefault="00752539">
      <w:pPr>
        <w:pStyle w:val="TOC2"/>
        <w:tabs>
          <w:tab w:val="right" w:leader="dot" w:pos="9350"/>
        </w:tabs>
        <w:rPr>
          <w:rFonts w:eastAsiaTheme="minorEastAsia"/>
          <w:noProof/>
          <w:lang w:val="en-US"/>
        </w:rPr>
      </w:pPr>
      <w:hyperlink w:anchor="_Toc133828642" w:history="1">
        <w:r w:rsidR="003F784C" w:rsidRPr="00EE2438">
          <w:rPr>
            <w:rStyle w:val="Hyperlink"/>
            <w:noProof/>
          </w:rPr>
          <w:t xml:space="preserve">Non-resident </w:t>
        </w:r>
        <w:r w:rsidR="003F784C" w:rsidRPr="00EE2438">
          <w:rPr>
            <w:rStyle w:val="Hyperlink"/>
            <w:noProof/>
            <w:lang w:val="en-US"/>
          </w:rPr>
          <w:t>Unitholders</w:t>
        </w:r>
        <w:r w:rsidR="003F784C">
          <w:rPr>
            <w:noProof/>
          </w:rPr>
          <w:tab/>
        </w:r>
        <w:r w:rsidR="003F784C">
          <w:rPr>
            <w:noProof/>
          </w:rPr>
          <w:fldChar w:fldCharType="begin"/>
        </w:r>
        <w:r w:rsidR="003F784C">
          <w:rPr>
            <w:noProof/>
          </w:rPr>
          <w:instrText xml:space="preserve"> PAGEREF _Toc133828642 \h </w:instrText>
        </w:r>
        <w:r w:rsidR="003F784C">
          <w:rPr>
            <w:noProof/>
          </w:rPr>
        </w:r>
        <w:r w:rsidR="003F784C">
          <w:rPr>
            <w:noProof/>
          </w:rPr>
          <w:fldChar w:fldCharType="separate"/>
        </w:r>
        <w:r w:rsidR="003F784C">
          <w:rPr>
            <w:noProof/>
          </w:rPr>
          <w:t>15</w:t>
        </w:r>
        <w:r w:rsidR="003F784C">
          <w:rPr>
            <w:noProof/>
          </w:rPr>
          <w:fldChar w:fldCharType="end"/>
        </w:r>
      </w:hyperlink>
    </w:p>
    <w:p w14:paraId="403E5CCF" w14:textId="549A5D93" w:rsidR="003F784C" w:rsidRDefault="00752539">
      <w:pPr>
        <w:pStyle w:val="TOC1"/>
        <w:tabs>
          <w:tab w:val="right" w:leader="dot" w:pos="9350"/>
        </w:tabs>
        <w:rPr>
          <w:rFonts w:eastAsiaTheme="minorEastAsia"/>
          <w:b w:val="0"/>
          <w:noProof/>
          <w:lang w:val="en-US"/>
        </w:rPr>
      </w:pPr>
      <w:hyperlink w:anchor="_Toc133828643" w:history="1">
        <w:r w:rsidR="003F784C" w:rsidRPr="00EE2438">
          <w:rPr>
            <w:rStyle w:val="Hyperlink"/>
            <w:noProof/>
          </w:rPr>
          <w:t>Fees and Expenses</w:t>
        </w:r>
        <w:r w:rsidR="003F784C">
          <w:rPr>
            <w:noProof/>
          </w:rPr>
          <w:tab/>
        </w:r>
        <w:r w:rsidR="003F784C">
          <w:rPr>
            <w:noProof/>
          </w:rPr>
          <w:fldChar w:fldCharType="begin"/>
        </w:r>
        <w:r w:rsidR="003F784C">
          <w:rPr>
            <w:noProof/>
          </w:rPr>
          <w:instrText xml:space="preserve"> PAGEREF _Toc133828643 \h </w:instrText>
        </w:r>
        <w:r w:rsidR="003F784C">
          <w:rPr>
            <w:noProof/>
          </w:rPr>
        </w:r>
        <w:r w:rsidR="003F784C">
          <w:rPr>
            <w:noProof/>
          </w:rPr>
          <w:fldChar w:fldCharType="separate"/>
        </w:r>
        <w:r w:rsidR="003F784C">
          <w:rPr>
            <w:noProof/>
          </w:rPr>
          <w:t>15</w:t>
        </w:r>
        <w:r w:rsidR="003F784C">
          <w:rPr>
            <w:noProof/>
          </w:rPr>
          <w:fldChar w:fldCharType="end"/>
        </w:r>
      </w:hyperlink>
    </w:p>
    <w:p w14:paraId="337B4160" w14:textId="2DE825EC" w:rsidR="003F784C" w:rsidRDefault="00752539">
      <w:pPr>
        <w:pStyle w:val="TOC2"/>
        <w:tabs>
          <w:tab w:val="right" w:leader="dot" w:pos="9350"/>
        </w:tabs>
        <w:rPr>
          <w:rFonts w:eastAsiaTheme="minorEastAsia"/>
          <w:noProof/>
          <w:lang w:val="en-US"/>
        </w:rPr>
      </w:pPr>
      <w:hyperlink w:anchor="_Toc133828644" w:history="1">
        <w:r w:rsidR="003F784C" w:rsidRPr="00EE2438">
          <w:rPr>
            <w:rStyle w:val="Hyperlink"/>
            <w:noProof/>
          </w:rPr>
          <w:t>Fees and Expenses Payable by the Fund</w:t>
        </w:r>
        <w:r w:rsidR="003F784C">
          <w:rPr>
            <w:noProof/>
          </w:rPr>
          <w:tab/>
        </w:r>
        <w:r w:rsidR="003F784C">
          <w:rPr>
            <w:noProof/>
          </w:rPr>
          <w:fldChar w:fldCharType="begin"/>
        </w:r>
        <w:r w:rsidR="003F784C">
          <w:rPr>
            <w:noProof/>
          </w:rPr>
          <w:instrText xml:space="preserve"> PAGEREF _Toc133828644 \h </w:instrText>
        </w:r>
        <w:r w:rsidR="003F784C">
          <w:rPr>
            <w:noProof/>
          </w:rPr>
        </w:r>
        <w:r w:rsidR="003F784C">
          <w:rPr>
            <w:noProof/>
          </w:rPr>
          <w:fldChar w:fldCharType="separate"/>
        </w:r>
        <w:r w:rsidR="003F784C">
          <w:rPr>
            <w:noProof/>
          </w:rPr>
          <w:t>15</w:t>
        </w:r>
        <w:r w:rsidR="003F784C">
          <w:rPr>
            <w:noProof/>
          </w:rPr>
          <w:fldChar w:fldCharType="end"/>
        </w:r>
      </w:hyperlink>
    </w:p>
    <w:p w14:paraId="1A87C0FE" w14:textId="06D11249" w:rsidR="003F784C" w:rsidRDefault="00752539">
      <w:pPr>
        <w:pStyle w:val="TOC2"/>
        <w:tabs>
          <w:tab w:val="right" w:leader="dot" w:pos="9350"/>
        </w:tabs>
        <w:rPr>
          <w:rFonts w:eastAsiaTheme="minorEastAsia"/>
          <w:noProof/>
          <w:lang w:val="en-US"/>
        </w:rPr>
      </w:pPr>
      <w:hyperlink w:anchor="_Toc133828645" w:history="1">
        <w:r w:rsidR="003F784C" w:rsidRPr="00EE2438">
          <w:rPr>
            <w:rStyle w:val="Hyperlink"/>
            <w:noProof/>
          </w:rPr>
          <w:t>Fees and Expenses Payable Directly by Unitholders</w:t>
        </w:r>
        <w:r w:rsidR="003F784C">
          <w:rPr>
            <w:noProof/>
          </w:rPr>
          <w:tab/>
        </w:r>
        <w:r w:rsidR="003F784C">
          <w:rPr>
            <w:noProof/>
          </w:rPr>
          <w:fldChar w:fldCharType="begin"/>
        </w:r>
        <w:r w:rsidR="003F784C">
          <w:rPr>
            <w:noProof/>
          </w:rPr>
          <w:instrText xml:space="preserve"> PAGEREF _Toc133828645 \h </w:instrText>
        </w:r>
        <w:r w:rsidR="003F784C">
          <w:rPr>
            <w:noProof/>
          </w:rPr>
        </w:r>
        <w:r w:rsidR="003F784C">
          <w:rPr>
            <w:noProof/>
          </w:rPr>
          <w:fldChar w:fldCharType="separate"/>
        </w:r>
        <w:r w:rsidR="003F784C">
          <w:rPr>
            <w:noProof/>
          </w:rPr>
          <w:t>16</w:t>
        </w:r>
        <w:r w:rsidR="003F784C">
          <w:rPr>
            <w:noProof/>
          </w:rPr>
          <w:fldChar w:fldCharType="end"/>
        </w:r>
      </w:hyperlink>
    </w:p>
    <w:p w14:paraId="65037DD4" w14:textId="5DA15708" w:rsidR="003F784C" w:rsidRDefault="00752539">
      <w:pPr>
        <w:pStyle w:val="TOC2"/>
        <w:tabs>
          <w:tab w:val="right" w:leader="dot" w:pos="9350"/>
        </w:tabs>
        <w:rPr>
          <w:rFonts w:eastAsiaTheme="minorEastAsia"/>
          <w:noProof/>
          <w:lang w:val="en-US"/>
        </w:rPr>
      </w:pPr>
      <w:hyperlink w:anchor="_Toc133828646" w:history="1">
        <w:r w:rsidR="003F784C" w:rsidRPr="00EE2438">
          <w:rPr>
            <w:rStyle w:val="Hyperlink"/>
            <w:noProof/>
          </w:rPr>
          <w:t>Impact of Sales Charges</w:t>
        </w:r>
        <w:r w:rsidR="003F784C">
          <w:rPr>
            <w:noProof/>
          </w:rPr>
          <w:tab/>
        </w:r>
        <w:r w:rsidR="003F784C">
          <w:rPr>
            <w:noProof/>
          </w:rPr>
          <w:fldChar w:fldCharType="begin"/>
        </w:r>
        <w:r w:rsidR="003F784C">
          <w:rPr>
            <w:noProof/>
          </w:rPr>
          <w:instrText xml:space="preserve"> PAGEREF _Toc133828646 \h </w:instrText>
        </w:r>
        <w:r w:rsidR="003F784C">
          <w:rPr>
            <w:noProof/>
          </w:rPr>
        </w:r>
        <w:r w:rsidR="003F784C">
          <w:rPr>
            <w:noProof/>
          </w:rPr>
          <w:fldChar w:fldCharType="separate"/>
        </w:r>
        <w:r w:rsidR="003F784C">
          <w:rPr>
            <w:noProof/>
          </w:rPr>
          <w:t>17</w:t>
        </w:r>
        <w:r w:rsidR="003F784C">
          <w:rPr>
            <w:noProof/>
          </w:rPr>
          <w:fldChar w:fldCharType="end"/>
        </w:r>
      </w:hyperlink>
    </w:p>
    <w:p w14:paraId="51FF18A3" w14:textId="788F9191" w:rsidR="003F784C" w:rsidRDefault="00752539">
      <w:pPr>
        <w:pStyle w:val="TOC1"/>
        <w:tabs>
          <w:tab w:val="right" w:leader="dot" w:pos="9350"/>
        </w:tabs>
        <w:rPr>
          <w:rFonts w:eastAsiaTheme="minorEastAsia"/>
          <w:b w:val="0"/>
          <w:noProof/>
          <w:lang w:val="en-US"/>
        </w:rPr>
      </w:pPr>
      <w:hyperlink w:anchor="_Toc133828647" w:history="1">
        <w:r w:rsidR="003F784C" w:rsidRPr="00EE2438">
          <w:rPr>
            <w:rStyle w:val="Hyperlink"/>
            <w:noProof/>
          </w:rPr>
          <w:t>Dealer Compensation</w:t>
        </w:r>
        <w:r w:rsidR="003F784C">
          <w:rPr>
            <w:noProof/>
          </w:rPr>
          <w:tab/>
        </w:r>
        <w:r w:rsidR="003F784C">
          <w:rPr>
            <w:noProof/>
          </w:rPr>
          <w:fldChar w:fldCharType="begin"/>
        </w:r>
        <w:r w:rsidR="003F784C">
          <w:rPr>
            <w:noProof/>
          </w:rPr>
          <w:instrText xml:space="preserve"> PAGEREF _Toc133828647 \h </w:instrText>
        </w:r>
        <w:r w:rsidR="003F784C">
          <w:rPr>
            <w:noProof/>
          </w:rPr>
        </w:r>
        <w:r w:rsidR="003F784C">
          <w:rPr>
            <w:noProof/>
          </w:rPr>
          <w:fldChar w:fldCharType="separate"/>
        </w:r>
        <w:r w:rsidR="003F784C">
          <w:rPr>
            <w:noProof/>
          </w:rPr>
          <w:t>17</w:t>
        </w:r>
        <w:r w:rsidR="003F784C">
          <w:rPr>
            <w:noProof/>
          </w:rPr>
          <w:fldChar w:fldCharType="end"/>
        </w:r>
      </w:hyperlink>
    </w:p>
    <w:p w14:paraId="42611143" w14:textId="344203D0" w:rsidR="003F784C" w:rsidRDefault="00752539">
      <w:pPr>
        <w:pStyle w:val="TOC2"/>
        <w:tabs>
          <w:tab w:val="right" w:leader="dot" w:pos="9350"/>
        </w:tabs>
        <w:rPr>
          <w:rFonts w:eastAsiaTheme="minorEastAsia"/>
          <w:noProof/>
          <w:lang w:val="en-US"/>
        </w:rPr>
      </w:pPr>
      <w:hyperlink w:anchor="_Toc133828648" w:history="1">
        <w:r w:rsidR="003F784C" w:rsidRPr="00EE2438">
          <w:rPr>
            <w:rStyle w:val="Hyperlink"/>
            <w:noProof/>
          </w:rPr>
          <w:t>How Your Investment Professional and Dealer are Paid</w:t>
        </w:r>
        <w:r w:rsidR="003F784C">
          <w:rPr>
            <w:noProof/>
          </w:rPr>
          <w:tab/>
        </w:r>
        <w:r w:rsidR="003F784C">
          <w:rPr>
            <w:noProof/>
          </w:rPr>
          <w:fldChar w:fldCharType="begin"/>
        </w:r>
        <w:r w:rsidR="003F784C">
          <w:rPr>
            <w:noProof/>
          </w:rPr>
          <w:instrText xml:space="preserve"> PAGEREF _Toc133828648 \h </w:instrText>
        </w:r>
        <w:r w:rsidR="003F784C">
          <w:rPr>
            <w:noProof/>
          </w:rPr>
        </w:r>
        <w:r w:rsidR="003F784C">
          <w:rPr>
            <w:noProof/>
          </w:rPr>
          <w:fldChar w:fldCharType="separate"/>
        </w:r>
        <w:r w:rsidR="003F784C">
          <w:rPr>
            <w:noProof/>
          </w:rPr>
          <w:t>17</w:t>
        </w:r>
        <w:r w:rsidR="003F784C">
          <w:rPr>
            <w:noProof/>
          </w:rPr>
          <w:fldChar w:fldCharType="end"/>
        </w:r>
      </w:hyperlink>
    </w:p>
    <w:p w14:paraId="20E00E55" w14:textId="7E0FA83E" w:rsidR="003F784C" w:rsidRDefault="00752539">
      <w:pPr>
        <w:pStyle w:val="TOC1"/>
        <w:tabs>
          <w:tab w:val="right" w:leader="dot" w:pos="9350"/>
        </w:tabs>
        <w:rPr>
          <w:rFonts w:eastAsiaTheme="minorEastAsia"/>
          <w:b w:val="0"/>
          <w:noProof/>
          <w:lang w:val="en-US"/>
        </w:rPr>
      </w:pPr>
      <w:hyperlink w:anchor="_Toc133828649" w:history="1">
        <w:r w:rsidR="003F784C" w:rsidRPr="00EE2438">
          <w:rPr>
            <w:rStyle w:val="Hyperlink"/>
            <w:noProof/>
          </w:rPr>
          <w:t>Income Tax Considerations</w:t>
        </w:r>
        <w:r w:rsidR="003F784C">
          <w:rPr>
            <w:noProof/>
          </w:rPr>
          <w:tab/>
        </w:r>
        <w:r w:rsidR="003F784C">
          <w:rPr>
            <w:noProof/>
          </w:rPr>
          <w:fldChar w:fldCharType="begin"/>
        </w:r>
        <w:r w:rsidR="003F784C">
          <w:rPr>
            <w:noProof/>
          </w:rPr>
          <w:instrText xml:space="preserve"> PAGEREF _Toc133828649 \h </w:instrText>
        </w:r>
        <w:r w:rsidR="003F784C">
          <w:rPr>
            <w:noProof/>
          </w:rPr>
        </w:r>
        <w:r w:rsidR="003F784C">
          <w:rPr>
            <w:noProof/>
          </w:rPr>
          <w:fldChar w:fldCharType="separate"/>
        </w:r>
        <w:r w:rsidR="003F784C">
          <w:rPr>
            <w:noProof/>
          </w:rPr>
          <w:t>18</w:t>
        </w:r>
        <w:r w:rsidR="003F784C">
          <w:rPr>
            <w:noProof/>
          </w:rPr>
          <w:fldChar w:fldCharType="end"/>
        </w:r>
      </w:hyperlink>
    </w:p>
    <w:p w14:paraId="4E92A84C" w14:textId="6B30875A" w:rsidR="003F784C" w:rsidRDefault="00752539">
      <w:pPr>
        <w:pStyle w:val="TOC2"/>
        <w:tabs>
          <w:tab w:val="right" w:leader="dot" w:pos="9350"/>
        </w:tabs>
        <w:rPr>
          <w:rFonts w:eastAsiaTheme="minorEastAsia"/>
          <w:noProof/>
          <w:lang w:val="en-US"/>
        </w:rPr>
      </w:pPr>
      <w:hyperlink w:anchor="_Toc133828650" w:history="1">
        <w:r w:rsidR="003F784C" w:rsidRPr="00EE2438">
          <w:rPr>
            <w:rStyle w:val="Hyperlink"/>
            <w:noProof/>
          </w:rPr>
          <w:t>Status of the Fund</w:t>
        </w:r>
        <w:r w:rsidR="003F784C">
          <w:rPr>
            <w:noProof/>
          </w:rPr>
          <w:tab/>
        </w:r>
        <w:r w:rsidR="003F784C">
          <w:rPr>
            <w:noProof/>
          </w:rPr>
          <w:fldChar w:fldCharType="begin"/>
        </w:r>
        <w:r w:rsidR="003F784C">
          <w:rPr>
            <w:noProof/>
          </w:rPr>
          <w:instrText xml:space="preserve"> PAGEREF _Toc133828650 \h </w:instrText>
        </w:r>
        <w:r w:rsidR="003F784C">
          <w:rPr>
            <w:noProof/>
          </w:rPr>
        </w:r>
        <w:r w:rsidR="003F784C">
          <w:rPr>
            <w:noProof/>
          </w:rPr>
          <w:fldChar w:fldCharType="separate"/>
        </w:r>
        <w:r w:rsidR="003F784C">
          <w:rPr>
            <w:noProof/>
          </w:rPr>
          <w:t>19</w:t>
        </w:r>
        <w:r w:rsidR="003F784C">
          <w:rPr>
            <w:noProof/>
          </w:rPr>
          <w:fldChar w:fldCharType="end"/>
        </w:r>
      </w:hyperlink>
    </w:p>
    <w:p w14:paraId="6B4F4825" w14:textId="0E81AF8C" w:rsidR="003F784C" w:rsidRDefault="00752539">
      <w:pPr>
        <w:pStyle w:val="TOC2"/>
        <w:tabs>
          <w:tab w:val="right" w:leader="dot" w:pos="9350"/>
        </w:tabs>
        <w:rPr>
          <w:rFonts w:eastAsiaTheme="minorEastAsia"/>
          <w:noProof/>
          <w:lang w:val="en-US"/>
        </w:rPr>
      </w:pPr>
      <w:hyperlink w:anchor="_Toc133828651" w:history="1">
        <w:r w:rsidR="003F784C" w:rsidRPr="00EE2438">
          <w:rPr>
            <w:rStyle w:val="Hyperlink"/>
            <w:noProof/>
          </w:rPr>
          <w:t>Taxation of the Fund</w:t>
        </w:r>
        <w:r w:rsidR="003F784C">
          <w:rPr>
            <w:noProof/>
          </w:rPr>
          <w:tab/>
        </w:r>
        <w:r w:rsidR="003F784C">
          <w:rPr>
            <w:noProof/>
          </w:rPr>
          <w:fldChar w:fldCharType="begin"/>
        </w:r>
        <w:r w:rsidR="003F784C">
          <w:rPr>
            <w:noProof/>
          </w:rPr>
          <w:instrText xml:space="preserve"> PAGEREF _Toc133828651 \h </w:instrText>
        </w:r>
        <w:r w:rsidR="003F784C">
          <w:rPr>
            <w:noProof/>
          </w:rPr>
        </w:r>
        <w:r w:rsidR="003F784C">
          <w:rPr>
            <w:noProof/>
          </w:rPr>
          <w:fldChar w:fldCharType="separate"/>
        </w:r>
        <w:r w:rsidR="003F784C">
          <w:rPr>
            <w:noProof/>
          </w:rPr>
          <w:t>19</w:t>
        </w:r>
        <w:r w:rsidR="003F784C">
          <w:rPr>
            <w:noProof/>
          </w:rPr>
          <w:fldChar w:fldCharType="end"/>
        </w:r>
      </w:hyperlink>
    </w:p>
    <w:p w14:paraId="5B8F99CB" w14:textId="647DD074" w:rsidR="003F784C" w:rsidRDefault="00752539">
      <w:pPr>
        <w:pStyle w:val="TOC2"/>
        <w:tabs>
          <w:tab w:val="right" w:leader="dot" w:pos="9350"/>
        </w:tabs>
        <w:rPr>
          <w:rFonts w:eastAsiaTheme="minorEastAsia"/>
          <w:noProof/>
          <w:lang w:val="en-US"/>
        </w:rPr>
      </w:pPr>
      <w:hyperlink w:anchor="_Toc133828652" w:history="1">
        <w:r w:rsidR="003F784C" w:rsidRPr="00EE2438">
          <w:rPr>
            <w:rStyle w:val="Hyperlink"/>
            <w:noProof/>
          </w:rPr>
          <w:t>Taxation of Individual Unitholders</w:t>
        </w:r>
        <w:r w:rsidR="003F784C">
          <w:rPr>
            <w:noProof/>
          </w:rPr>
          <w:tab/>
        </w:r>
        <w:r w:rsidR="003F784C">
          <w:rPr>
            <w:noProof/>
          </w:rPr>
          <w:fldChar w:fldCharType="begin"/>
        </w:r>
        <w:r w:rsidR="003F784C">
          <w:rPr>
            <w:noProof/>
          </w:rPr>
          <w:instrText xml:space="preserve"> PAGEREF _Toc133828652 \h </w:instrText>
        </w:r>
        <w:r w:rsidR="003F784C">
          <w:rPr>
            <w:noProof/>
          </w:rPr>
        </w:r>
        <w:r w:rsidR="003F784C">
          <w:rPr>
            <w:noProof/>
          </w:rPr>
          <w:fldChar w:fldCharType="separate"/>
        </w:r>
        <w:r w:rsidR="003F784C">
          <w:rPr>
            <w:noProof/>
          </w:rPr>
          <w:t>21</w:t>
        </w:r>
        <w:r w:rsidR="003F784C">
          <w:rPr>
            <w:noProof/>
          </w:rPr>
          <w:fldChar w:fldCharType="end"/>
        </w:r>
      </w:hyperlink>
    </w:p>
    <w:p w14:paraId="2F0BDF62" w14:textId="218ED438" w:rsidR="003F784C" w:rsidRDefault="00752539">
      <w:pPr>
        <w:pStyle w:val="TOC2"/>
        <w:tabs>
          <w:tab w:val="right" w:leader="dot" w:pos="9350"/>
        </w:tabs>
        <w:rPr>
          <w:rFonts w:eastAsiaTheme="minorEastAsia"/>
          <w:noProof/>
          <w:lang w:val="en-US"/>
        </w:rPr>
      </w:pPr>
      <w:hyperlink w:anchor="_Toc133828653" w:history="1">
        <w:r w:rsidR="003F784C" w:rsidRPr="00EE2438">
          <w:rPr>
            <w:rStyle w:val="Hyperlink"/>
            <w:noProof/>
          </w:rPr>
          <w:t>Units Held in Registered Plans</w:t>
        </w:r>
        <w:r w:rsidR="003F784C">
          <w:rPr>
            <w:noProof/>
          </w:rPr>
          <w:tab/>
        </w:r>
        <w:r w:rsidR="003F784C">
          <w:rPr>
            <w:noProof/>
          </w:rPr>
          <w:fldChar w:fldCharType="begin"/>
        </w:r>
        <w:r w:rsidR="003F784C">
          <w:rPr>
            <w:noProof/>
          </w:rPr>
          <w:instrText xml:space="preserve"> PAGEREF _Toc133828653 \h </w:instrText>
        </w:r>
        <w:r w:rsidR="003F784C">
          <w:rPr>
            <w:noProof/>
          </w:rPr>
        </w:r>
        <w:r w:rsidR="003F784C">
          <w:rPr>
            <w:noProof/>
          </w:rPr>
          <w:fldChar w:fldCharType="separate"/>
        </w:r>
        <w:r w:rsidR="003F784C">
          <w:rPr>
            <w:noProof/>
          </w:rPr>
          <w:t>23</w:t>
        </w:r>
        <w:r w:rsidR="003F784C">
          <w:rPr>
            <w:noProof/>
          </w:rPr>
          <w:fldChar w:fldCharType="end"/>
        </w:r>
      </w:hyperlink>
    </w:p>
    <w:p w14:paraId="758575E2" w14:textId="4D6336FB" w:rsidR="003F784C" w:rsidRDefault="00752539">
      <w:pPr>
        <w:pStyle w:val="TOC1"/>
        <w:tabs>
          <w:tab w:val="right" w:leader="dot" w:pos="9350"/>
        </w:tabs>
        <w:rPr>
          <w:rFonts w:eastAsiaTheme="minorEastAsia"/>
          <w:b w:val="0"/>
          <w:noProof/>
          <w:lang w:val="en-US"/>
        </w:rPr>
      </w:pPr>
      <w:hyperlink w:anchor="_Toc133828654" w:history="1">
        <w:r w:rsidR="003F784C" w:rsidRPr="00EE2438">
          <w:rPr>
            <w:rStyle w:val="Hyperlink"/>
            <w:noProof/>
            <w:lang w:val="en-US"/>
          </w:rPr>
          <w:t>International Information Reporting</w:t>
        </w:r>
        <w:r w:rsidR="003F784C">
          <w:rPr>
            <w:noProof/>
          </w:rPr>
          <w:tab/>
        </w:r>
        <w:r w:rsidR="003F784C">
          <w:rPr>
            <w:noProof/>
          </w:rPr>
          <w:fldChar w:fldCharType="begin"/>
        </w:r>
        <w:r w:rsidR="003F784C">
          <w:rPr>
            <w:noProof/>
          </w:rPr>
          <w:instrText xml:space="preserve"> PAGEREF _Toc133828654 \h </w:instrText>
        </w:r>
        <w:r w:rsidR="003F784C">
          <w:rPr>
            <w:noProof/>
          </w:rPr>
        </w:r>
        <w:r w:rsidR="003F784C">
          <w:rPr>
            <w:noProof/>
          </w:rPr>
          <w:fldChar w:fldCharType="separate"/>
        </w:r>
        <w:r w:rsidR="003F784C">
          <w:rPr>
            <w:noProof/>
          </w:rPr>
          <w:t>24</w:t>
        </w:r>
        <w:r w:rsidR="003F784C">
          <w:rPr>
            <w:noProof/>
          </w:rPr>
          <w:fldChar w:fldCharType="end"/>
        </w:r>
      </w:hyperlink>
    </w:p>
    <w:p w14:paraId="1C0863A7" w14:textId="028CDF95" w:rsidR="003F784C" w:rsidRDefault="00752539">
      <w:pPr>
        <w:pStyle w:val="TOC1"/>
        <w:tabs>
          <w:tab w:val="right" w:leader="dot" w:pos="9350"/>
        </w:tabs>
        <w:rPr>
          <w:rFonts w:eastAsiaTheme="minorEastAsia"/>
          <w:b w:val="0"/>
          <w:noProof/>
          <w:lang w:val="en-US"/>
        </w:rPr>
      </w:pPr>
      <w:hyperlink w:anchor="_Toc133828655" w:history="1">
        <w:r w:rsidR="003F784C" w:rsidRPr="00EE2438">
          <w:rPr>
            <w:rStyle w:val="Hyperlink"/>
            <w:noProof/>
          </w:rPr>
          <w:t>What Are Your Legal Rights?</w:t>
        </w:r>
        <w:r w:rsidR="003F784C">
          <w:rPr>
            <w:noProof/>
          </w:rPr>
          <w:tab/>
        </w:r>
        <w:r w:rsidR="003F784C">
          <w:rPr>
            <w:noProof/>
          </w:rPr>
          <w:fldChar w:fldCharType="begin"/>
        </w:r>
        <w:r w:rsidR="003F784C">
          <w:rPr>
            <w:noProof/>
          </w:rPr>
          <w:instrText xml:space="preserve"> PAGEREF _Toc133828655 \h </w:instrText>
        </w:r>
        <w:r w:rsidR="003F784C">
          <w:rPr>
            <w:noProof/>
          </w:rPr>
        </w:r>
        <w:r w:rsidR="003F784C">
          <w:rPr>
            <w:noProof/>
          </w:rPr>
          <w:fldChar w:fldCharType="separate"/>
        </w:r>
        <w:r w:rsidR="003F784C">
          <w:rPr>
            <w:noProof/>
          </w:rPr>
          <w:t>24</w:t>
        </w:r>
        <w:r w:rsidR="003F784C">
          <w:rPr>
            <w:noProof/>
          </w:rPr>
          <w:fldChar w:fldCharType="end"/>
        </w:r>
      </w:hyperlink>
    </w:p>
    <w:p w14:paraId="08E3BD96" w14:textId="604C4EF5" w:rsidR="003F784C" w:rsidRDefault="00752539">
      <w:pPr>
        <w:pStyle w:val="TOC1"/>
        <w:tabs>
          <w:tab w:val="right" w:leader="dot" w:pos="9350"/>
        </w:tabs>
        <w:rPr>
          <w:rFonts w:eastAsiaTheme="minorEastAsia"/>
          <w:b w:val="0"/>
          <w:noProof/>
          <w:lang w:val="en-US"/>
        </w:rPr>
      </w:pPr>
      <w:hyperlink w:anchor="_Toc133828656" w:history="1">
        <w:r w:rsidR="003F784C" w:rsidRPr="00EE2438">
          <w:rPr>
            <w:rStyle w:val="Hyperlink"/>
            <w:rFonts w:cstheme="minorHAnsi"/>
            <w:noProof/>
          </w:rPr>
          <w:t>Certificate of the Fund and the Manager and Promoter</w:t>
        </w:r>
        <w:r w:rsidR="003F784C">
          <w:rPr>
            <w:noProof/>
          </w:rPr>
          <w:tab/>
          <w:t>C-</w:t>
        </w:r>
        <w:r w:rsidR="003F784C">
          <w:rPr>
            <w:noProof/>
          </w:rPr>
          <w:fldChar w:fldCharType="begin"/>
        </w:r>
        <w:r w:rsidR="003F784C">
          <w:rPr>
            <w:noProof/>
          </w:rPr>
          <w:instrText xml:space="preserve"> PAGEREF _Toc133828656 \h </w:instrText>
        </w:r>
        <w:r w:rsidR="003F784C">
          <w:rPr>
            <w:noProof/>
          </w:rPr>
        </w:r>
        <w:r w:rsidR="003F784C">
          <w:rPr>
            <w:noProof/>
          </w:rPr>
          <w:fldChar w:fldCharType="separate"/>
        </w:r>
        <w:r w:rsidR="003F784C">
          <w:rPr>
            <w:noProof/>
          </w:rPr>
          <w:t>1</w:t>
        </w:r>
        <w:r w:rsidR="003F784C">
          <w:rPr>
            <w:noProof/>
          </w:rPr>
          <w:fldChar w:fldCharType="end"/>
        </w:r>
      </w:hyperlink>
    </w:p>
    <w:p w14:paraId="23ECD4A6" w14:textId="631096B3" w:rsidR="003F784C" w:rsidRDefault="00752539">
      <w:pPr>
        <w:pStyle w:val="TOC1"/>
        <w:tabs>
          <w:tab w:val="right" w:leader="dot" w:pos="9350"/>
        </w:tabs>
        <w:rPr>
          <w:rFonts w:eastAsiaTheme="minorEastAsia"/>
          <w:b w:val="0"/>
          <w:noProof/>
          <w:lang w:val="en-US"/>
        </w:rPr>
      </w:pPr>
      <w:hyperlink w:anchor="_Toc133828657" w:history="1">
        <w:r w:rsidR="003F784C" w:rsidRPr="00EE2438">
          <w:rPr>
            <w:rStyle w:val="Hyperlink"/>
            <w:noProof/>
          </w:rPr>
          <w:t>Specific Information About Barrantagh Small Cap Canadian Equity Fund</w:t>
        </w:r>
        <w:r w:rsidR="003F784C">
          <w:rPr>
            <w:noProof/>
          </w:rPr>
          <w:tab/>
        </w:r>
        <w:r w:rsidR="003F784C">
          <w:rPr>
            <w:noProof/>
          </w:rPr>
          <w:fldChar w:fldCharType="begin"/>
        </w:r>
        <w:r w:rsidR="003F784C">
          <w:rPr>
            <w:noProof/>
          </w:rPr>
          <w:instrText xml:space="preserve"> PAGEREF _Toc133828657 \h </w:instrText>
        </w:r>
        <w:r w:rsidR="003F784C">
          <w:rPr>
            <w:noProof/>
          </w:rPr>
        </w:r>
        <w:r w:rsidR="003F784C">
          <w:rPr>
            <w:noProof/>
          </w:rPr>
          <w:fldChar w:fldCharType="separate"/>
        </w:r>
        <w:r w:rsidR="003F784C">
          <w:rPr>
            <w:noProof/>
          </w:rPr>
          <w:t>1</w:t>
        </w:r>
        <w:r w:rsidR="003F784C">
          <w:rPr>
            <w:noProof/>
          </w:rPr>
          <w:fldChar w:fldCharType="end"/>
        </w:r>
      </w:hyperlink>
    </w:p>
    <w:p w14:paraId="0CFD30FE" w14:textId="4FA69DC6" w:rsidR="00D5533B" w:rsidRDefault="00D5533B" w:rsidP="00D5533B">
      <w:pPr>
        <w:sectPr w:rsidR="00D5533B" w:rsidSect="00FE49FF">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r>
        <w:fldChar w:fldCharType="end"/>
      </w:r>
    </w:p>
    <w:p w14:paraId="7E640BE6" w14:textId="5BF56A4D" w:rsidR="000B3882" w:rsidRPr="00C70083" w:rsidRDefault="00D5533B" w:rsidP="00C70083">
      <w:pPr>
        <w:pStyle w:val="Heading1"/>
        <w:rPr>
          <w:rFonts w:eastAsiaTheme="minorHAnsi"/>
        </w:rPr>
      </w:pPr>
      <w:bookmarkStart w:id="1" w:name="_Toc531895534"/>
      <w:bookmarkStart w:id="2" w:name="_Toc531895612"/>
      <w:bookmarkStart w:id="3" w:name="_Toc531896272"/>
      <w:bookmarkStart w:id="4" w:name="_Toc133828627"/>
      <w:r>
        <w:rPr>
          <w:rFonts w:eastAsiaTheme="minorHAnsi"/>
        </w:rPr>
        <w:lastRenderedPageBreak/>
        <w:t>Introduction</w:t>
      </w:r>
      <w:bookmarkEnd w:id="1"/>
      <w:bookmarkEnd w:id="2"/>
      <w:bookmarkEnd w:id="3"/>
      <w:bookmarkEnd w:id="4"/>
    </w:p>
    <w:p w14:paraId="77F499D2" w14:textId="77777777" w:rsidR="00D5533B" w:rsidRPr="00C10036" w:rsidRDefault="00D5533B" w:rsidP="00D5533B">
      <w:pPr>
        <w:pStyle w:val="BodyText"/>
      </w:pPr>
      <w:r w:rsidRPr="00C10036">
        <w:t>This Simplified Prospectus contains selected important information to help you make an informed investment decision and to help you understand your rights as an investor.</w:t>
      </w:r>
    </w:p>
    <w:p w14:paraId="7DBDFDAE" w14:textId="12D6EF58" w:rsidR="00D5533B" w:rsidRPr="00C10036" w:rsidRDefault="00D5533B" w:rsidP="00D5533B">
      <w:pPr>
        <w:pStyle w:val="BodyText"/>
      </w:pPr>
      <w:r w:rsidRPr="00C10036">
        <w:t xml:space="preserve">In this Simplified Prospectus, the </w:t>
      </w:r>
      <w:r w:rsidR="001A5F5C">
        <w:t>“</w:t>
      </w:r>
      <w:r w:rsidRPr="00C10036">
        <w:rPr>
          <w:b/>
        </w:rPr>
        <w:t>Fund</w:t>
      </w:r>
      <w:r w:rsidR="001A5F5C">
        <w:rPr>
          <w:bCs/>
        </w:rPr>
        <w:t>”</w:t>
      </w:r>
      <w:r w:rsidRPr="00C10036">
        <w:t xml:space="preserve"> means the </w:t>
      </w:r>
      <w:proofErr w:type="spellStart"/>
      <w:r w:rsidRPr="00C10036">
        <w:t>Barrantagh</w:t>
      </w:r>
      <w:proofErr w:type="spellEnd"/>
      <w:r w:rsidRPr="00C10036">
        <w:t xml:space="preserve"> Small Cap Canadian Equity Fund.  </w:t>
      </w:r>
      <w:r w:rsidR="001A5F5C">
        <w:t>“</w:t>
      </w:r>
      <w:r w:rsidRPr="00C10036">
        <w:rPr>
          <w:b/>
        </w:rPr>
        <w:t>We</w:t>
      </w:r>
      <w:r w:rsidR="001A5F5C" w:rsidRPr="001A5F5C">
        <w:rPr>
          <w:bCs/>
        </w:rPr>
        <w:t>”</w:t>
      </w:r>
      <w:r w:rsidR="001A5F5C">
        <w:rPr>
          <w:bCs/>
        </w:rPr>
        <w:t>,</w:t>
      </w:r>
      <w:r w:rsidRPr="00C10036">
        <w:rPr>
          <w:b/>
        </w:rPr>
        <w:t xml:space="preserve"> </w:t>
      </w:r>
      <w:r w:rsidR="001A5F5C">
        <w:rPr>
          <w:bCs/>
        </w:rPr>
        <w:t>“</w:t>
      </w:r>
      <w:r w:rsidRPr="00C10036">
        <w:rPr>
          <w:b/>
        </w:rPr>
        <w:t>us</w:t>
      </w:r>
      <w:r w:rsidR="001A5F5C" w:rsidRPr="001A5F5C">
        <w:rPr>
          <w:bCs/>
        </w:rPr>
        <w:t>”</w:t>
      </w:r>
      <w:r w:rsidR="00017DB7">
        <w:t xml:space="preserve">, </w:t>
      </w:r>
      <w:r w:rsidR="00E1792F">
        <w:t>“</w:t>
      </w:r>
      <w:r w:rsidRPr="00C10036">
        <w:rPr>
          <w:b/>
        </w:rPr>
        <w:t>our</w:t>
      </w:r>
      <w:r w:rsidR="001A5F5C" w:rsidRPr="001A5F5C">
        <w:rPr>
          <w:bCs/>
        </w:rPr>
        <w:t>”</w:t>
      </w:r>
      <w:r w:rsidR="00017DB7">
        <w:rPr>
          <w:bCs/>
        </w:rPr>
        <w:t xml:space="preserve"> and </w:t>
      </w:r>
      <w:r w:rsidR="001A5F5C">
        <w:rPr>
          <w:bCs/>
        </w:rPr>
        <w:t>“</w:t>
      </w:r>
      <w:proofErr w:type="spellStart"/>
      <w:r w:rsidR="00017DB7" w:rsidRPr="007011CE">
        <w:rPr>
          <w:b/>
        </w:rPr>
        <w:t>Barrantagh</w:t>
      </w:r>
      <w:proofErr w:type="spellEnd"/>
      <w:r w:rsidR="001A5F5C" w:rsidRPr="001A5F5C">
        <w:rPr>
          <w:bCs/>
        </w:rPr>
        <w:t>”</w:t>
      </w:r>
      <w:r w:rsidR="007B2117">
        <w:t xml:space="preserve"> </w:t>
      </w:r>
      <w:r w:rsidRPr="00C10036">
        <w:t xml:space="preserve">mean </w:t>
      </w:r>
      <w:proofErr w:type="spellStart"/>
      <w:r w:rsidRPr="00C10036">
        <w:t>Barrantagh</w:t>
      </w:r>
      <w:proofErr w:type="spellEnd"/>
      <w:r w:rsidRPr="00C10036">
        <w:t xml:space="preserve"> Investment Management Inc., the </w:t>
      </w:r>
      <w:r w:rsidR="00A24C4C">
        <w:t>manager</w:t>
      </w:r>
      <w:r w:rsidRPr="00C10036">
        <w:t xml:space="preserve">, </w:t>
      </w:r>
      <w:proofErr w:type="gramStart"/>
      <w:r w:rsidRPr="00C10036">
        <w:t>trustee</w:t>
      </w:r>
      <w:proofErr w:type="gramEnd"/>
      <w:r w:rsidRPr="00C10036">
        <w:t xml:space="preserve"> and portfolio advisor of the Fund.  </w:t>
      </w:r>
    </w:p>
    <w:p w14:paraId="688282F3" w14:textId="6AD19F2E" w:rsidR="002A0315" w:rsidRPr="00C10036" w:rsidRDefault="00756E47" w:rsidP="002A0315">
      <w:pPr>
        <w:pStyle w:val="BodyText"/>
        <w:rPr>
          <w:rFonts w:cstheme="minorHAnsi"/>
        </w:rPr>
      </w:pPr>
      <w:r>
        <w:rPr>
          <w:rFonts w:cstheme="minorHAnsi"/>
          <w:bCs/>
        </w:rPr>
        <w:t>“</w:t>
      </w:r>
      <w:r w:rsidR="002A0315" w:rsidRPr="00C10036">
        <w:rPr>
          <w:rFonts w:cstheme="minorHAnsi"/>
          <w:b/>
        </w:rPr>
        <w:t>Units</w:t>
      </w:r>
      <w:r>
        <w:rPr>
          <w:rFonts w:cstheme="minorHAnsi"/>
          <w:bCs/>
        </w:rPr>
        <w:t>”</w:t>
      </w:r>
      <w:r w:rsidR="002A0315" w:rsidRPr="00C10036">
        <w:rPr>
          <w:rFonts w:cstheme="minorHAnsi"/>
        </w:rPr>
        <w:t xml:space="preserve"> refers to the Series A Units, Series F Units or the Series O Units and </w:t>
      </w:r>
      <w:r>
        <w:rPr>
          <w:rFonts w:cstheme="minorHAnsi"/>
        </w:rPr>
        <w:t>“</w:t>
      </w:r>
      <w:r w:rsidR="002A0315" w:rsidRPr="00C10036">
        <w:rPr>
          <w:rFonts w:cstheme="minorHAnsi"/>
          <w:b/>
        </w:rPr>
        <w:t>Unitholder</w:t>
      </w:r>
      <w:r>
        <w:rPr>
          <w:rFonts w:cstheme="minorHAnsi"/>
          <w:bCs/>
        </w:rPr>
        <w:t>”</w:t>
      </w:r>
      <w:r w:rsidR="002A0315" w:rsidRPr="00C10036">
        <w:rPr>
          <w:rFonts w:cstheme="minorHAnsi"/>
          <w:b/>
        </w:rPr>
        <w:t xml:space="preserve"> </w:t>
      </w:r>
      <w:r w:rsidR="002A0315" w:rsidRPr="00C10036">
        <w:rPr>
          <w:rFonts w:cstheme="minorHAnsi"/>
        </w:rPr>
        <w:t>refers to a holder of Units.  We calculate a net asset value (</w:t>
      </w:r>
      <w:r>
        <w:rPr>
          <w:rFonts w:cstheme="minorHAnsi"/>
        </w:rPr>
        <w:t>the “</w:t>
      </w:r>
      <w:r w:rsidR="002A0315" w:rsidRPr="00C10036">
        <w:rPr>
          <w:rFonts w:cstheme="minorHAnsi"/>
          <w:b/>
        </w:rPr>
        <w:t>NAV</w:t>
      </w:r>
      <w:r>
        <w:rPr>
          <w:rFonts w:cstheme="minorHAnsi"/>
          <w:bCs/>
        </w:rPr>
        <w:t>”</w:t>
      </w:r>
      <w:r w:rsidR="002A0315" w:rsidRPr="00C10036">
        <w:rPr>
          <w:rFonts w:cstheme="minorHAnsi"/>
        </w:rPr>
        <w:t xml:space="preserve">) for each series and for each Unit of the series (the </w:t>
      </w:r>
      <w:r>
        <w:rPr>
          <w:rFonts w:cstheme="minorHAnsi"/>
        </w:rPr>
        <w:t>“</w:t>
      </w:r>
      <w:r w:rsidR="002A0315" w:rsidRPr="00C10036">
        <w:rPr>
          <w:rFonts w:cstheme="minorHAnsi"/>
          <w:b/>
        </w:rPr>
        <w:t>NAV per Unit</w:t>
      </w:r>
      <w:r>
        <w:rPr>
          <w:rFonts w:cstheme="minorHAnsi"/>
          <w:bCs/>
        </w:rPr>
        <w:t>”</w:t>
      </w:r>
      <w:r w:rsidR="002A0315" w:rsidRPr="00C10036">
        <w:rPr>
          <w:rFonts w:cstheme="minorHAnsi"/>
        </w:rPr>
        <w:t>).</w:t>
      </w:r>
    </w:p>
    <w:p w14:paraId="46C401B6" w14:textId="535AB677" w:rsidR="002A0315" w:rsidRPr="00EC2AF7" w:rsidRDefault="002A0315" w:rsidP="00D5533B">
      <w:pPr>
        <w:pStyle w:val="BodyText"/>
        <w:rPr>
          <w:rFonts w:ascii="Arial" w:hAnsi="Arial" w:cs="Arial"/>
        </w:rPr>
      </w:pPr>
      <w:r w:rsidRPr="00C10036">
        <w:rPr>
          <w:rFonts w:ascii="Arial" w:hAnsi="Arial" w:cs="Arial"/>
        </w:rPr>
        <w:t xml:space="preserve">References to time are </w:t>
      </w:r>
      <w:r w:rsidRPr="00EC2AF7">
        <w:rPr>
          <w:rFonts w:ascii="Arial" w:hAnsi="Arial" w:cs="Arial"/>
        </w:rPr>
        <w:t xml:space="preserve">to local time in Toronto, Ontario. A </w:t>
      </w:r>
      <w:r w:rsidR="00425689">
        <w:rPr>
          <w:rFonts w:ascii="Arial" w:hAnsi="Arial" w:cs="Arial"/>
        </w:rPr>
        <w:t>“</w:t>
      </w:r>
      <w:r w:rsidRPr="00EC2AF7">
        <w:rPr>
          <w:rFonts w:ascii="Arial" w:hAnsi="Arial" w:cs="Arial"/>
          <w:b/>
        </w:rPr>
        <w:t>Trading Day</w:t>
      </w:r>
      <w:r w:rsidR="00425689">
        <w:rPr>
          <w:rFonts w:ascii="Arial" w:hAnsi="Arial" w:cs="Arial"/>
          <w:bCs/>
        </w:rPr>
        <w:t>”</w:t>
      </w:r>
      <w:r w:rsidRPr="00EC2AF7">
        <w:rPr>
          <w:rFonts w:ascii="Arial" w:hAnsi="Arial" w:cs="Arial"/>
        </w:rPr>
        <w:t xml:space="preserve"> is any day that the Toronto Stock Exchange is open for trading for the full day.</w:t>
      </w:r>
    </w:p>
    <w:p w14:paraId="02FBE3F4" w14:textId="47E01EBC" w:rsidR="00D5533B" w:rsidRPr="00EC2AF7" w:rsidRDefault="00D5533B" w:rsidP="00F337CC">
      <w:pPr>
        <w:pStyle w:val="BodyText"/>
      </w:pPr>
      <w:r w:rsidRPr="00EC2AF7">
        <w:t>This Simplified Prospectus contains information about the Fund and the risks of investing in mutual funds generally, as well as the names of the firms responsible for the management and administration of the Fund.  Additional information about the Fund is available in the following documents:</w:t>
      </w:r>
    </w:p>
    <w:p w14:paraId="1464B43A" w14:textId="77777777" w:rsidR="00D5533B" w:rsidRPr="00EC2AF7" w:rsidRDefault="00D5533B" w:rsidP="00D5533B">
      <w:pPr>
        <w:pStyle w:val="BodyTextIndent"/>
        <w:ind w:left="1440" w:hanging="720"/>
      </w:pPr>
      <w:r w:rsidRPr="00EC2AF7">
        <w:sym w:font="Symbol" w:char="F0B7"/>
      </w:r>
      <w:r w:rsidRPr="00EC2AF7">
        <w:tab/>
        <w:t>the most recently filed Fund Facts,</w:t>
      </w:r>
    </w:p>
    <w:p w14:paraId="7662CB78" w14:textId="311AEF64" w:rsidR="00D5533B" w:rsidRPr="00EC2AF7" w:rsidRDefault="00D5533B" w:rsidP="00D5533B">
      <w:pPr>
        <w:pStyle w:val="BodyTextIndent"/>
        <w:ind w:left="1440" w:hanging="720"/>
      </w:pPr>
      <w:r w:rsidRPr="00EC2AF7">
        <w:sym w:font="Symbol" w:char="F0B7"/>
      </w:r>
      <w:r w:rsidRPr="00EC2AF7">
        <w:tab/>
        <w:t>the most recently filed annual financial statements of the Fund,</w:t>
      </w:r>
    </w:p>
    <w:p w14:paraId="4724A67E" w14:textId="77777777" w:rsidR="00D5533B" w:rsidRPr="00EC2AF7" w:rsidRDefault="00D5533B" w:rsidP="00D5533B">
      <w:pPr>
        <w:pStyle w:val="BodyTextIndent"/>
        <w:ind w:left="1440" w:hanging="720"/>
      </w:pPr>
      <w:r w:rsidRPr="00EC2AF7">
        <w:sym w:font="Symbol" w:char="F0B7"/>
      </w:r>
      <w:r w:rsidRPr="00EC2AF7">
        <w:tab/>
        <w:t>any interim financial statements of the Fund which are filed after those annual financial statements are filed,</w:t>
      </w:r>
    </w:p>
    <w:p w14:paraId="6413F8D4" w14:textId="6A1AA8B1" w:rsidR="00D5533B" w:rsidRPr="00EC2AF7" w:rsidRDefault="00D5533B" w:rsidP="00D5533B">
      <w:pPr>
        <w:pStyle w:val="BodyTextIndent"/>
        <w:ind w:left="1440" w:hanging="720"/>
      </w:pPr>
      <w:r w:rsidRPr="00EC2AF7">
        <w:sym w:font="Symbol" w:char="F0B7"/>
      </w:r>
      <w:r w:rsidRPr="00EC2AF7">
        <w:tab/>
        <w:t>the most recently filed annual management report of fund performance of the Fund (</w:t>
      </w:r>
      <w:r w:rsidR="005D3421">
        <w:t>“</w:t>
      </w:r>
      <w:r w:rsidRPr="00EC2AF7">
        <w:rPr>
          <w:b/>
        </w:rPr>
        <w:t>MRFP</w:t>
      </w:r>
      <w:r w:rsidR="005D3421">
        <w:rPr>
          <w:bCs/>
        </w:rPr>
        <w:t>”</w:t>
      </w:r>
      <w:r w:rsidRPr="00EC2AF7">
        <w:t>), and</w:t>
      </w:r>
    </w:p>
    <w:p w14:paraId="6D3DBAAC" w14:textId="77777777" w:rsidR="00D5533B" w:rsidRPr="00EC2AF7" w:rsidRDefault="00D5533B" w:rsidP="00D5533B">
      <w:pPr>
        <w:pStyle w:val="BodyTextIndent"/>
        <w:ind w:left="1440" w:hanging="720"/>
      </w:pPr>
      <w:r w:rsidRPr="00EC2AF7">
        <w:sym w:font="Symbol" w:char="F0B7"/>
      </w:r>
      <w:r w:rsidRPr="00EC2AF7">
        <w:tab/>
        <w:t>any interim MRFP which is filed after that annual MRFP.</w:t>
      </w:r>
    </w:p>
    <w:p w14:paraId="5ACE28B7" w14:textId="23A4019A" w:rsidR="00517692" w:rsidRPr="00EC2AF7" w:rsidRDefault="00D5533B" w:rsidP="00D5533B">
      <w:pPr>
        <w:pStyle w:val="BodyText"/>
      </w:pPr>
      <w:r w:rsidRPr="00EC2AF7">
        <w:t xml:space="preserve">These documents are incorporated by reference into this Simplified Prospectus, which means that they are legally part of this document, just as if they were printed as a part of this document.  You can get a copy of these documents, at your request and at no cost, by calling us toll free at 1-833-246-8468, by contacting us by email at </w:t>
      </w:r>
      <w:hyperlink r:id="rId18" w:history="1">
        <w:r w:rsidRPr="00EC2AF7">
          <w:rPr>
            <w:rStyle w:val="Hyperlink"/>
            <w:color w:val="auto"/>
          </w:rPr>
          <w:t>info@barrantagh.com</w:t>
        </w:r>
      </w:hyperlink>
      <w:r w:rsidRPr="00EC2AF7">
        <w:t xml:space="preserve"> or by writing to us at 100 Yonge Street, Suite 1700, Toronto, Ontario M5C 2W1, or from your dealer.  These documents and other information about the Fund are also available on our website at </w:t>
      </w:r>
      <w:hyperlink r:id="rId19" w:history="1">
        <w:r w:rsidRPr="00EC2AF7">
          <w:rPr>
            <w:rStyle w:val="Hyperlink"/>
            <w:color w:val="auto"/>
          </w:rPr>
          <w:t>www.Barrantagh.com</w:t>
        </w:r>
      </w:hyperlink>
      <w:r w:rsidRPr="00EC2AF7">
        <w:t xml:space="preserve"> or at </w:t>
      </w:r>
      <w:hyperlink r:id="rId20" w:history="1">
        <w:r w:rsidRPr="00EC2AF7">
          <w:rPr>
            <w:rStyle w:val="Hyperlink"/>
            <w:color w:val="auto"/>
          </w:rPr>
          <w:t>www.sedar.com</w:t>
        </w:r>
      </w:hyperlink>
      <w:r w:rsidRPr="00EC2AF7">
        <w:t>.</w:t>
      </w:r>
      <w:r w:rsidR="007230D0">
        <w:t xml:space="preserve"> </w:t>
      </w:r>
    </w:p>
    <w:p w14:paraId="151BA255" w14:textId="77777777" w:rsidR="00517692" w:rsidRPr="00EC2AF7" w:rsidRDefault="00517692" w:rsidP="00517692">
      <w:pPr>
        <w:pStyle w:val="Heading1"/>
        <w:rPr>
          <w:rFonts w:asciiTheme="minorHAnsi" w:hAnsiTheme="minorHAnsi" w:cstheme="minorHAnsi"/>
        </w:rPr>
      </w:pPr>
      <w:bookmarkStart w:id="5" w:name="_Toc5968895"/>
      <w:bookmarkStart w:id="6" w:name="_Toc133828628"/>
      <w:r w:rsidRPr="00EC2AF7">
        <w:rPr>
          <w:rFonts w:asciiTheme="minorHAnsi" w:hAnsiTheme="minorHAnsi" w:cstheme="minorHAnsi"/>
        </w:rPr>
        <w:lastRenderedPageBreak/>
        <w:t>Responsibility for Fund Operations</w:t>
      </w:r>
      <w:bookmarkEnd w:id="5"/>
      <w:bookmarkEnd w:id="6"/>
    </w:p>
    <w:p w14:paraId="602F5A3D" w14:textId="77777777" w:rsidR="00517692" w:rsidRPr="00EC2AF7" w:rsidRDefault="00517692" w:rsidP="00517692">
      <w:pPr>
        <w:pStyle w:val="BodyText"/>
        <w:keepNext/>
        <w:keepLines/>
        <w:rPr>
          <w:rFonts w:ascii="Arial" w:hAnsi="Arial" w:cs="Arial"/>
          <w:b/>
        </w:rPr>
      </w:pPr>
      <w:proofErr w:type="spellStart"/>
      <w:r w:rsidRPr="00EC2AF7">
        <w:rPr>
          <w:rFonts w:ascii="Arial" w:hAnsi="Arial" w:cs="Arial"/>
          <w:b/>
        </w:rPr>
        <w:t>Barrantagh</w:t>
      </w:r>
      <w:proofErr w:type="spellEnd"/>
    </w:p>
    <w:p w14:paraId="13A5BB51" w14:textId="584EACC5" w:rsidR="00517692" w:rsidRPr="00EC2AF7" w:rsidRDefault="00517692" w:rsidP="00517692">
      <w:pPr>
        <w:pStyle w:val="BodyTextFirstIndent"/>
        <w:keepNext/>
        <w:keepLines/>
        <w:ind w:firstLine="0"/>
        <w:rPr>
          <w:rFonts w:cstheme="minorHAnsi"/>
        </w:rPr>
      </w:pPr>
      <w:proofErr w:type="spellStart"/>
      <w:r w:rsidRPr="00EC2AF7">
        <w:rPr>
          <w:rFonts w:cstheme="minorHAnsi"/>
        </w:rPr>
        <w:t>Barrantagh</w:t>
      </w:r>
      <w:proofErr w:type="spellEnd"/>
      <w:r w:rsidRPr="00EC2AF7">
        <w:rPr>
          <w:rFonts w:cstheme="minorHAnsi"/>
        </w:rPr>
        <w:t xml:space="preserve"> will perform or arrange for the performance of management services for the Fund, will be responsible for the administration of the Fund and will act as the investment fund manager of the Fund pursuant to the Declaration</w:t>
      </w:r>
      <w:r w:rsidR="005450BD">
        <w:rPr>
          <w:rFonts w:cstheme="minorHAnsi"/>
        </w:rPr>
        <w:t xml:space="preserve"> (as defined herein)</w:t>
      </w:r>
      <w:r w:rsidRPr="00EC2AF7">
        <w:rPr>
          <w:rFonts w:cstheme="minorHAnsi"/>
        </w:rPr>
        <w:t xml:space="preserve">.  </w:t>
      </w:r>
      <w:proofErr w:type="spellStart"/>
      <w:r w:rsidRPr="00EC2AF7">
        <w:rPr>
          <w:rFonts w:cstheme="minorHAnsi"/>
        </w:rPr>
        <w:t>Barrantagh</w:t>
      </w:r>
      <w:proofErr w:type="spellEnd"/>
      <w:r w:rsidRPr="00EC2AF7">
        <w:rPr>
          <w:rFonts w:cstheme="minorHAnsi"/>
        </w:rPr>
        <w:t xml:space="preserve"> will be entitled to receive fees as compensation for management services rendered to the Fund.  The principal office of </w:t>
      </w:r>
      <w:proofErr w:type="spellStart"/>
      <w:r w:rsidRPr="00EC2AF7">
        <w:rPr>
          <w:rFonts w:cstheme="minorHAnsi"/>
        </w:rPr>
        <w:t>Barrantagh</w:t>
      </w:r>
      <w:proofErr w:type="spellEnd"/>
      <w:r w:rsidRPr="00EC2AF7">
        <w:rPr>
          <w:rFonts w:cstheme="minorHAnsi"/>
        </w:rPr>
        <w:t xml:space="preserve"> is located at </w:t>
      </w:r>
      <w:r w:rsidRPr="00EC2AF7">
        <w:rPr>
          <w:rFonts w:ascii="Arial" w:hAnsi="Arial" w:cs="Arial"/>
        </w:rPr>
        <w:t>100 Yonge Street, Suite 1700, Toronto, Ontario M5C 2W1</w:t>
      </w:r>
      <w:r w:rsidRPr="00EC2AF7">
        <w:rPr>
          <w:rFonts w:cstheme="minorHAnsi"/>
        </w:rPr>
        <w:t>.  See “</w:t>
      </w:r>
      <w:r w:rsidRPr="00EC2AF7">
        <w:rPr>
          <w:rFonts w:cstheme="minorHAnsi"/>
          <w:i/>
        </w:rPr>
        <w:t xml:space="preserve">− Duties and Services to be Provided by </w:t>
      </w:r>
      <w:proofErr w:type="spellStart"/>
      <w:r w:rsidRPr="00EC2AF7">
        <w:rPr>
          <w:rFonts w:cstheme="minorHAnsi"/>
          <w:i/>
        </w:rPr>
        <w:t>Barrantagh</w:t>
      </w:r>
      <w:proofErr w:type="spellEnd"/>
      <w:r w:rsidRPr="00EC2AF7">
        <w:rPr>
          <w:rFonts w:cstheme="minorHAnsi"/>
        </w:rPr>
        <w:t>”</w:t>
      </w:r>
      <w:r w:rsidR="0012299E">
        <w:rPr>
          <w:rFonts w:cstheme="minorHAnsi"/>
        </w:rPr>
        <w:t xml:space="preserve"> below</w:t>
      </w:r>
      <w:r w:rsidRPr="00EC2AF7">
        <w:rPr>
          <w:rFonts w:cstheme="minorHAnsi"/>
        </w:rPr>
        <w:t>.</w:t>
      </w:r>
    </w:p>
    <w:p w14:paraId="580FCE24" w14:textId="4E3346D2" w:rsidR="00517692" w:rsidRPr="00CD7169" w:rsidRDefault="00517692" w:rsidP="00517692">
      <w:pPr>
        <w:pStyle w:val="BodyTextFirstIndent"/>
        <w:keepNext/>
        <w:keepLines/>
        <w:ind w:firstLine="0"/>
        <w:rPr>
          <w:rFonts w:cstheme="minorHAnsi"/>
        </w:rPr>
      </w:pPr>
      <w:r w:rsidRPr="00EC2AF7">
        <w:rPr>
          <w:rFonts w:cstheme="minorHAnsi"/>
        </w:rPr>
        <w:t xml:space="preserve">The name and </w:t>
      </w:r>
      <w:r w:rsidRPr="00CD7169">
        <w:rPr>
          <w:rFonts w:cstheme="minorHAnsi"/>
        </w:rPr>
        <w:t xml:space="preserve">municipality of residence of the directors and executive officers of </w:t>
      </w:r>
      <w:proofErr w:type="spellStart"/>
      <w:r w:rsidRPr="00CD7169">
        <w:rPr>
          <w:rFonts w:cstheme="minorHAnsi"/>
        </w:rPr>
        <w:t>Barrantagh</w:t>
      </w:r>
      <w:proofErr w:type="spellEnd"/>
      <w:r w:rsidRPr="00CD7169">
        <w:rPr>
          <w:rFonts w:cstheme="minorHAnsi"/>
        </w:rPr>
        <w:t xml:space="preserve"> and their principal occupations are as follows:</w:t>
      </w:r>
    </w:p>
    <w:tbl>
      <w:tblPr>
        <w:tblW w:w="9558" w:type="dxa"/>
        <w:tblBorders>
          <w:top w:val="nil"/>
          <w:left w:val="nil"/>
          <w:bottom w:val="nil"/>
          <w:right w:val="nil"/>
        </w:tblBorders>
        <w:tblLayout w:type="fixed"/>
        <w:tblLook w:val="0000" w:firstRow="0" w:lastRow="0" w:firstColumn="0" w:lastColumn="0" w:noHBand="0" w:noVBand="0"/>
      </w:tblPr>
      <w:tblGrid>
        <w:gridCol w:w="2808"/>
        <w:gridCol w:w="270"/>
        <w:gridCol w:w="6480"/>
      </w:tblGrid>
      <w:tr w:rsidR="00CD7169" w:rsidRPr="00CD7169" w14:paraId="0F543BC0" w14:textId="77777777" w:rsidTr="0054024B">
        <w:trPr>
          <w:trHeight w:val="222"/>
          <w:tblHeader/>
        </w:trPr>
        <w:tc>
          <w:tcPr>
            <w:tcW w:w="2808" w:type="dxa"/>
            <w:tcBorders>
              <w:top w:val="nil"/>
              <w:left w:val="nil"/>
              <w:bottom w:val="nil"/>
            </w:tcBorders>
          </w:tcPr>
          <w:p w14:paraId="7164325C" w14:textId="77777777" w:rsidR="00517692" w:rsidRPr="00CD7169" w:rsidRDefault="00517692" w:rsidP="0054024B">
            <w:pPr>
              <w:keepNext/>
              <w:keepLines/>
              <w:tabs>
                <w:tab w:val="left" w:pos="2592"/>
              </w:tabs>
              <w:autoSpaceDE w:val="0"/>
              <w:autoSpaceDN w:val="0"/>
              <w:adjustRightInd w:val="0"/>
              <w:spacing w:before="120" w:after="0"/>
              <w:rPr>
                <w:rFonts w:eastAsia="Calibri" w:cstheme="minorHAnsi"/>
                <w:lang w:val="en-US"/>
              </w:rPr>
            </w:pPr>
            <w:r w:rsidRPr="00CD7169">
              <w:rPr>
                <w:rFonts w:eastAsia="Calibri" w:cstheme="minorHAnsi"/>
                <w:b/>
                <w:bCs/>
                <w:lang w:val="en-US"/>
              </w:rPr>
              <w:t xml:space="preserve">Name and Municipality </w:t>
            </w:r>
            <w:r w:rsidRPr="00CD7169">
              <w:rPr>
                <w:rFonts w:eastAsia="Calibri" w:cstheme="minorHAnsi"/>
                <w:b/>
                <w:bCs/>
                <w:u w:val="single"/>
                <w:lang w:val="en-US"/>
              </w:rPr>
              <w:t>of Residence</w:t>
            </w:r>
            <w:r w:rsidRPr="00CD7169">
              <w:rPr>
                <w:rFonts w:eastAsia="Calibri" w:cstheme="minorHAnsi"/>
                <w:b/>
                <w:bCs/>
                <w:u w:val="single"/>
                <w:lang w:val="en-US"/>
              </w:rPr>
              <w:tab/>
            </w:r>
          </w:p>
        </w:tc>
        <w:tc>
          <w:tcPr>
            <w:tcW w:w="270" w:type="dxa"/>
            <w:tcBorders>
              <w:top w:val="nil"/>
              <w:bottom w:val="nil"/>
            </w:tcBorders>
          </w:tcPr>
          <w:p w14:paraId="2BECFA38" w14:textId="77777777" w:rsidR="00517692" w:rsidRPr="00CD7169" w:rsidRDefault="00517692" w:rsidP="0054024B">
            <w:pPr>
              <w:autoSpaceDE w:val="0"/>
              <w:autoSpaceDN w:val="0"/>
              <w:adjustRightInd w:val="0"/>
              <w:spacing w:before="120" w:after="0"/>
              <w:rPr>
                <w:rFonts w:eastAsia="Calibri" w:cstheme="minorHAnsi"/>
                <w:b/>
                <w:bCs/>
                <w:lang w:val="en-US"/>
              </w:rPr>
            </w:pPr>
          </w:p>
        </w:tc>
        <w:tc>
          <w:tcPr>
            <w:tcW w:w="6480" w:type="dxa"/>
            <w:tcBorders>
              <w:top w:val="nil"/>
              <w:bottom w:val="nil"/>
            </w:tcBorders>
          </w:tcPr>
          <w:p w14:paraId="3D48077E" w14:textId="77777777" w:rsidR="00517692" w:rsidRPr="00CD7169" w:rsidRDefault="00517692" w:rsidP="0054024B">
            <w:pPr>
              <w:tabs>
                <w:tab w:val="left" w:pos="3114"/>
              </w:tabs>
              <w:autoSpaceDE w:val="0"/>
              <w:autoSpaceDN w:val="0"/>
              <w:adjustRightInd w:val="0"/>
              <w:spacing w:before="120" w:after="0"/>
              <w:rPr>
                <w:rFonts w:eastAsia="Calibri" w:cstheme="minorHAnsi"/>
                <w:u w:val="single"/>
                <w:lang w:val="en-US"/>
              </w:rPr>
            </w:pPr>
            <w:r w:rsidRPr="00CD7169">
              <w:rPr>
                <w:rFonts w:eastAsia="Calibri" w:cstheme="minorHAnsi"/>
                <w:b/>
                <w:bCs/>
                <w:lang w:val="en-US"/>
              </w:rPr>
              <w:br/>
            </w:r>
            <w:r w:rsidRPr="00CD7169">
              <w:rPr>
                <w:rFonts w:eastAsia="Calibri" w:cstheme="minorHAnsi"/>
                <w:b/>
                <w:bCs/>
                <w:u w:val="single"/>
                <w:lang w:val="en-US"/>
              </w:rPr>
              <w:t xml:space="preserve">Position with </w:t>
            </w:r>
            <w:proofErr w:type="spellStart"/>
            <w:r w:rsidRPr="00CD7169">
              <w:rPr>
                <w:rFonts w:eastAsia="Calibri" w:cstheme="minorHAnsi"/>
                <w:b/>
                <w:bCs/>
                <w:u w:val="single"/>
                <w:lang w:val="en-US"/>
              </w:rPr>
              <w:t>Barrantagh</w:t>
            </w:r>
            <w:proofErr w:type="spellEnd"/>
            <w:r w:rsidRPr="00CD7169">
              <w:rPr>
                <w:rFonts w:eastAsia="Calibri" w:cstheme="minorHAnsi"/>
                <w:b/>
                <w:bCs/>
                <w:u w:val="single"/>
                <w:lang w:val="en-US"/>
              </w:rPr>
              <w:t xml:space="preserve"> and Principal Occupation</w:t>
            </w:r>
          </w:p>
        </w:tc>
      </w:tr>
      <w:tr w:rsidR="00CD7169" w:rsidRPr="00CD7169" w14:paraId="4C06BAEB" w14:textId="77777777" w:rsidTr="0054024B">
        <w:trPr>
          <w:trHeight w:val="205"/>
        </w:trPr>
        <w:tc>
          <w:tcPr>
            <w:tcW w:w="2808" w:type="dxa"/>
            <w:tcBorders>
              <w:top w:val="nil"/>
            </w:tcBorders>
          </w:tcPr>
          <w:p w14:paraId="2D84F976" w14:textId="77777777" w:rsidR="00517692" w:rsidRPr="00CD7169" w:rsidRDefault="00517692" w:rsidP="0054024B">
            <w:pPr>
              <w:keepNext/>
              <w:keepLines/>
              <w:autoSpaceDE w:val="0"/>
              <w:autoSpaceDN w:val="0"/>
              <w:adjustRightInd w:val="0"/>
              <w:spacing w:before="120" w:after="60"/>
              <w:rPr>
                <w:rFonts w:eastAsia="Calibri" w:cstheme="minorHAnsi"/>
                <w:lang w:val="en-US"/>
              </w:rPr>
            </w:pPr>
            <w:r w:rsidRPr="00CD7169">
              <w:rPr>
                <w:rFonts w:eastAsia="Calibri" w:cstheme="minorHAnsi"/>
                <w:lang w:val="en-US"/>
              </w:rPr>
              <w:t>Walter Kusters</w:t>
            </w:r>
          </w:p>
          <w:p w14:paraId="6162ECFF" w14:textId="77777777" w:rsidR="00517692" w:rsidRPr="00CD7169" w:rsidRDefault="00517692" w:rsidP="0054024B">
            <w:pPr>
              <w:keepNext/>
              <w:keepLines/>
              <w:autoSpaceDE w:val="0"/>
              <w:autoSpaceDN w:val="0"/>
              <w:adjustRightInd w:val="0"/>
              <w:spacing w:after="60"/>
              <w:rPr>
                <w:rFonts w:eastAsia="Calibri" w:cstheme="minorHAnsi"/>
                <w:lang w:val="en-US"/>
              </w:rPr>
            </w:pPr>
            <w:r w:rsidRPr="00CD7169">
              <w:rPr>
                <w:rFonts w:eastAsia="Calibri" w:cstheme="minorHAnsi"/>
                <w:lang w:val="en-US"/>
              </w:rPr>
              <w:t>Oakville, ON</w:t>
            </w:r>
          </w:p>
        </w:tc>
        <w:tc>
          <w:tcPr>
            <w:tcW w:w="270" w:type="dxa"/>
            <w:tcBorders>
              <w:top w:val="nil"/>
            </w:tcBorders>
          </w:tcPr>
          <w:p w14:paraId="2B2AD744" w14:textId="77777777" w:rsidR="00517692" w:rsidRPr="00CD7169" w:rsidRDefault="00517692" w:rsidP="0054024B">
            <w:pPr>
              <w:autoSpaceDE w:val="0"/>
              <w:autoSpaceDN w:val="0"/>
              <w:adjustRightInd w:val="0"/>
              <w:spacing w:before="120" w:after="60"/>
              <w:rPr>
                <w:rFonts w:eastAsia="Calibri" w:cstheme="minorHAnsi"/>
                <w:lang w:val="en-US"/>
              </w:rPr>
            </w:pPr>
          </w:p>
        </w:tc>
        <w:tc>
          <w:tcPr>
            <w:tcW w:w="6480" w:type="dxa"/>
            <w:tcBorders>
              <w:top w:val="nil"/>
            </w:tcBorders>
          </w:tcPr>
          <w:p w14:paraId="2591235F" w14:textId="77777777" w:rsidR="00517692" w:rsidRPr="00CD7169" w:rsidRDefault="00517692" w:rsidP="00472E1F">
            <w:pPr>
              <w:autoSpaceDE w:val="0"/>
              <w:autoSpaceDN w:val="0"/>
              <w:adjustRightInd w:val="0"/>
              <w:spacing w:before="120" w:after="60"/>
              <w:jc w:val="left"/>
              <w:rPr>
                <w:rFonts w:eastAsia="Calibri" w:cstheme="minorHAnsi"/>
                <w:lang w:val="en-US"/>
              </w:rPr>
            </w:pPr>
            <w:r w:rsidRPr="00CD7169">
              <w:rPr>
                <w:rFonts w:eastAsia="Calibri" w:cstheme="minorHAnsi"/>
                <w:lang w:val="en-US"/>
              </w:rPr>
              <w:t>President and CEO</w:t>
            </w:r>
            <w:r w:rsidRPr="00CD7169">
              <w:rPr>
                <w:rFonts w:eastAsia="Calibri" w:cstheme="minorHAnsi"/>
                <w:lang w:val="en-US"/>
              </w:rPr>
              <w:br/>
              <w:t>Ultimate Designated Person</w:t>
            </w:r>
            <w:r w:rsidRPr="00CD7169">
              <w:rPr>
                <w:rFonts w:eastAsia="Calibri" w:cstheme="minorHAnsi"/>
                <w:lang w:val="en-US"/>
              </w:rPr>
              <w:br/>
              <w:t>Director</w:t>
            </w:r>
          </w:p>
        </w:tc>
      </w:tr>
      <w:tr w:rsidR="00CD7169" w:rsidRPr="00CD7169" w14:paraId="195DDE6B" w14:textId="77777777" w:rsidTr="0054024B">
        <w:trPr>
          <w:trHeight w:val="205"/>
        </w:trPr>
        <w:tc>
          <w:tcPr>
            <w:tcW w:w="2808" w:type="dxa"/>
            <w:tcBorders>
              <w:top w:val="nil"/>
              <w:bottom w:val="nil"/>
            </w:tcBorders>
          </w:tcPr>
          <w:p w14:paraId="393DA72F" w14:textId="77777777" w:rsidR="00517692" w:rsidRPr="00CD7169" w:rsidRDefault="00517692" w:rsidP="0054024B">
            <w:pPr>
              <w:autoSpaceDE w:val="0"/>
              <w:autoSpaceDN w:val="0"/>
              <w:adjustRightInd w:val="0"/>
              <w:spacing w:before="60" w:after="60"/>
              <w:rPr>
                <w:rFonts w:eastAsia="Calibri" w:cstheme="minorHAnsi"/>
                <w:lang w:val="en-US"/>
              </w:rPr>
            </w:pPr>
            <w:r w:rsidRPr="00CD7169">
              <w:rPr>
                <w:rFonts w:eastAsia="Calibri" w:cstheme="minorHAnsi"/>
                <w:lang w:val="en-US"/>
              </w:rPr>
              <w:t>Joe D’Angelo</w:t>
            </w:r>
          </w:p>
          <w:p w14:paraId="0D437970" w14:textId="77777777" w:rsidR="00517692" w:rsidRPr="00CD7169" w:rsidRDefault="00517692" w:rsidP="0054024B">
            <w:pPr>
              <w:autoSpaceDE w:val="0"/>
              <w:autoSpaceDN w:val="0"/>
              <w:adjustRightInd w:val="0"/>
              <w:spacing w:before="60" w:after="60"/>
              <w:rPr>
                <w:rFonts w:eastAsia="Calibri" w:cstheme="minorHAnsi"/>
                <w:lang w:val="en-US"/>
              </w:rPr>
            </w:pPr>
            <w:r w:rsidRPr="00CD7169">
              <w:rPr>
                <w:rFonts w:eastAsia="Calibri" w:cstheme="minorHAnsi"/>
                <w:lang w:val="en-US"/>
              </w:rPr>
              <w:t>Toronto, ON</w:t>
            </w:r>
          </w:p>
        </w:tc>
        <w:tc>
          <w:tcPr>
            <w:tcW w:w="270" w:type="dxa"/>
            <w:tcBorders>
              <w:top w:val="nil"/>
              <w:bottom w:val="nil"/>
            </w:tcBorders>
          </w:tcPr>
          <w:p w14:paraId="70967C7A" w14:textId="77777777" w:rsidR="00517692" w:rsidRPr="00CD7169" w:rsidRDefault="00517692" w:rsidP="0054024B">
            <w:pPr>
              <w:autoSpaceDE w:val="0"/>
              <w:autoSpaceDN w:val="0"/>
              <w:adjustRightInd w:val="0"/>
              <w:spacing w:before="60" w:after="60"/>
              <w:rPr>
                <w:rFonts w:eastAsia="Calibri" w:cstheme="minorHAnsi"/>
                <w:lang w:val="en-US"/>
              </w:rPr>
            </w:pPr>
          </w:p>
        </w:tc>
        <w:tc>
          <w:tcPr>
            <w:tcW w:w="6480" w:type="dxa"/>
            <w:tcBorders>
              <w:top w:val="nil"/>
              <w:bottom w:val="nil"/>
            </w:tcBorders>
          </w:tcPr>
          <w:p w14:paraId="58323666" w14:textId="77777777" w:rsidR="00517692" w:rsidRPr="00CD7169" w:rsidRDefault="00517692" w:rsidP="00472E1F">
            <w:pPr>
              <w:autoSpaceDE w:val="0"/>
              <w:autoSpaceDN w:val="0"/>
              <w:adjustRightInd w:val="0"/>
              <w:spacing w:before="60" w:after="60"/>
              <w:jc w:val="left"/>
              <w:rPr>
                <w:rFonts w:eastAsia="Calibri" w:cstheme="minorHAnsi"/>
                <w:lang w:val="en-US"/>
              </w:rPr>
            </w:pPr>
            <w:r w:rsidRPr="00CD7169">
              <w:rPr>
                <w:rFonts w:eastAsia="Calibri" w:cstheme="minorHAnsi"/>
                <w:lang w:val="en-US"/>
              </w:rPr>
              <w:t>VP PM Global Equities</w:t>
            </w:r>
            <w:r w:rsidRPr="00CD7169">
              <w:rPr>
                <w:rFonts w:eastAsia="Calibri" w:cstheme="minorHAnsi"/>
                <w:lang w:val="en-US"/>
              </w:rPr>
              <w:br/>
              <w:t>Director</w:t>
            </w:r>
          </w:p>
        </w:tc>
      </w:tr>
      <w:tr w:rsidR="00CD7169" w:rsidRPr="00CD7169" w14:paraId="60D8AE25" w14:textId="77777777" w:rsidTr="005402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2808" w:type="dxa"/>
            <w:shd w:val="clear" w:color="auto" w:fill="auto"/>
          </w:tcPr>
          <w:p w14:paraId="412A6FE9" w14:textId="77777777" w:rsidR="00517692" w:rsidRPr="00CD7169" w:rsidRDefault="00517692" w:rsidP="0054024B">
            <w:pPr>
              <w:spacing w:before="60" w:after="60"/>
              <w:rPr>
                <w:rFonts w:cstheme="minorHAnsi"/>
              </w:rPr>
            </w:pPr>
            <w:r w:rsidRPr="00CD7169">
              <w:rPr>
                <w:rFonts w:cstheme="minorHAnsi"/>
              </w:rPr>
              <w:t xml:space="preserve">John </w:t>
            </w:r>
            <w:proofErr w:type="spellStart"/>
            <w:r w:rsidRPr="00CD7169">
              <w:rPr>
                <w:rFonts w:cstheme="minorHAnsi"/>
              </w:rPr>
              <w:t>Vinnai</w:t>
            </w:r>
            <w:proofErr w:type="spellEnd"/>
          </w:p>
          <w:p w14:paraId="14140A99" w14:textId="77777777" w:rsidR="00517692" w:rsidRPr="00CD7169" w:rsidRDefault="00517692" w:rsidP="0054024B">
            <w:pPr>
              <w:spacing w:before="60" w:after="60"/>
              <w:rPr>
                <w:rFonts w:cstheme="minorHAnsi"/>
              </w:rPr>
            </w:pPr>
            <w:r w:rsidRPr="00CD7169">
              <w:rPr>
                <w:rFonts w:cstheme="minorHAnsi"/>
              </w:rPr>
              <w:t>Toronto, ON</w:t>
            </w:r>
          </w:p>
        </w:tc>
        <w:tc>
          <w:tcPr>
            <w:tcW w:w="270" w:type="dxa"/>
            <w:shd w:val="clear" w:color="auto" w:fill="auto"/>
          </w:tcPr>
          <w:p w14:paraId="5FE757F6" w14:textId="77777777" w:rsidR="00517692" w:rsidRPr="00CD7169" w:rsidRDefault="00517692" w:rsidP="0054024B">
            <w:pPr>
              <w:spacing w:before="60" w:after="60"/>
              <w:rPr>
                <w:rFonts w:cstheme="minorHAnsi"/>
              </w:rPr>
            </w:pPr>
          </w:p>
        </w:tc>
        <w:tc>
          <w:tcPr>
            <w:tcW w:w="6480" w:type="dxa"/>
            <w:shd w:val="clear" w:color="auto" w:fill="auto"/>
          </w:tcPr>
          <w:p w14:paraId="4926640A" w14:textId="77777777" w:rsidR="00517692" w:rsidRPr="00CD7169" w:rsidRDefault="00517692" w:rsidP="00472E1F">
            <w:pPr>
              <w:spacing w:before="60" w:after="60"/>
              <w:jc w:val="left"/>
              <w:rPr>
                <w:rFonts w:cstheme="minorHAnsi"/>
              </w:rPr>
            </w:pPr>
            <w:r w:rsidRPr="00CD7169">
              <w:rPr>
                <w:rFonts w:cstheme="minorHAnsi"/>
              </w:rPr>
              <w:t>VP PM Canadian Equities</w:t>
            </w:r>
            <w:r w:rsidRPr="00CD7169">
              <w:rPr>
                <w:rFonts w:cstheme="minorHAnsi"/>
              </w:rPr>
              <w:br/>
              <w:t>Director</w:t>
            </w:r>
          </w:p>
        </w:tc>
      </w:tr>
      <w:tr w:rsidR="00CD7169" w:rsidRPr="00CD7169" w14:paraId="2EBCAEF8" w14:textId="77777777" w:rsidTr="0054024B">
        <w:trPr>
          <w:trHeight w:val="205"/>
        </w:trPr>
        <w:tc>
          <w:tcPr>
            <w:tcW w:w="2808" w:type="dxa"/>
            <w:tcBorders>
              <w:top w:val="nil"/>
            </w:tcBorders>
          </w:tcPr>
          <w:p w14:paraId="739DAB76" w14:textId="77777777" w:rsidR="00517692" w:rsidRPr="00CD7169" w:rsidRDefault="00517692" w:rsidP="0054024B">
            <w:pPr>
              <w:spacing w:before="60" w:after="60"/>
              <w:rPr>
                <w:rFonts w:cstheme="minorHAnsi"/>
                <w:lang w:val="en-US"/>
              </w:rPr>
            </w:pPr>
            <w:r w:rsidRPr="00CD7169">
              <w:rPr>
                <w:rFonts w:cstheme="minorHAnsi"/>
                <w:lang w:val="en-US"/>
              </w:rPr>
              <w:t>Marino Scarmozzino</w:t>
            </w:r>
          </w:p>
          <w:p w14:paraId="02C7CEE6" w14:textId="77777777" w:rsidR="00517692" w:rsidRPr="00CD7169" w:rsidRDefault="00517692" w:rsidP="0054024B">
            <w:pPr>
              <w:spacing w:before="60" w:after="60"/>
              <w:rPr>
                <w:rFonts w:cstheme="minorHAnsi"/>
                <w:lang w:val="en-US"/>
              </w:rPr>
            </w:pPr>
            <w:proofErr w:type="spellStart"/>
            <w:r w:rsidRPr="00CD7169">
              <w:rPr>
                <w:rFonts w:cstheme="minorHAnsi"/>
                <w:lang w:val="en-US"/>
              </w:rPr>
              <w:t>Kleinburg</w:t>
            </w:r>
            <w:proofErr w:type="spellEnd"/>
            <w:r w:rsidRPr="00CD7169">
              <w:rPr>
                <w:rFonts w:cstheme="minorHAnsi"/>
                <w:lang w:val="en-US"/>
              </w:rPr>
              <w:t>, ON</w:t>
            </w:r>
          </w:p>
        </w:tc>
        <w:tc>
          <w:tcPr>
            <w:tcW w:w="270" w:type="dxa"/>
            <w:tcBorders>
              <w:top w:val="nil"/>
            </w:tcBorders>
          </w:tcPr>
          <w:p w14:paraId="4658F8F0" w14:textId="77777777" w:rsidR="00517692" w:rsidRPr="00CD7169" w:rsidRDefault="00517692" w:rsidP="0054024B">
            <w:pPr>
              <w:autoSpaceDE w:val="0"/>
              <w:autoSpaceDN w:val="0"/>
              <w:adjustRightInd w:val="0"/>
              <w:spacing w:before="60" w:after="60"/>
              <w:rPr>
                <w:rFonts w:eastAsia="Calibri" w:cstheme="minorHAnsi"/>
                <w:lang w:val="en-US"/>
              </w:rPr>
            </w:pPr>
          </w:p>
        </w:tc>
        <w:tc>
          <w:tcPr>
            <w:tcW w:w="6480" w:type="dxa"/>
            <w:tcBorders>
              <w:top w:val="nil"/>
            </w:tcBorders>
          </w:tcPr>
          <w:p w14:paraId="5E52EF8C" w14:textId="77777777" w:rsidR="00517692" w:rsidRPr="00CD7169" w:rsidRDefault="00517692" w:rsidP="00472E1F">
            <w:pPr>
              <w:autoSpaceDE w:val="0"/>
              <w:autoSpaceDN w:val="0"/>
              <w:adjustRightInd w:val="0"/>
              <w:spacing w:before="60" w:after="60"/>
              <w:jc w:val="left"/>
              <w:rPr>
                <w:rFonts w:eastAsia="Calibri" w:cstheme="minorHAnsi"/>
                <w:lang w:val="en-US"/>
              </w:rPr>
            </w:pPr>
            <w:r w:rsidRPr="00CD7169">
              <w:rPr>
                <w:rFonts w:eastAsia="Calibri" w:cstheme="minorHAnsi"/>
                <w:lang w:val="en-US"/>
              </w:rPr>
              <w:t>VP Finance and Administration</w:t>
            </w:r>
            <w:r w:rsidRPr="00CD7169">
              <w:rPr>
                <w:rFonts w:eastAsia="Calibri" w:cstheme="minorHAnsi"/>
                <w:lang w:val="en-US"/>
              </w:rPr>
              <w:br/>
              <w:t>Chief Compliance Officer</w:t>
            </w:r>
            <w:r w:rsidRPr="00CD7169">
              <w:rPr>
                <w:rFonts w:eastAsia="Calibri" w:cstheme="minorHAnsi"/>
                <w:lang w:val="en-US"/>
              </w:rPr>
              <w:br/>
              <w:t>Director</w:t>
            </w:r>
          </w:p>
        </w:tc>
      </w:tr>
    </w:tbl>
    <w:p w14:paraId="4B9FE823" w14:textId="77777777" w:rsidR="001C718C" w:rsidRDefault="001C718C" w:rsidP="001C718C">
      <w:pPr>
        <w:pStyle w:val="BodyTextFirstIndent"/>
        <w:spacing w:after="0"/>
        <w:ind w:firstLine="0"/>
        <w:rPr>
          <w:rFonts w:cstheme="minorHAnsi"/>
          <w:color w:val="7030A0"/>
          <w:lang w:val="en-US"/>
        </w:rPr>
      </w:pPr>
    </w:p>
    <w:p w14:paraId="35FE7ED0" w14:textId="5721ED78" w:rsidR="00517692" w:rsidRPr="00327515" w:rsidRDefault="00517692" w:rsidP="00517692">
      <w:pPr>
        <w:pStyle w:val="BodyTextFirstIndent"/>
        <w:ind w:firstLine="0"/>
        <w:rPr>
          <w:rFonts w:cstheme="minorHAnsi"/>
          <w:lang w:val="en-US"/>
        </w:rPr>
      </w:pPr>
      <w:r w:rsidRPr="009034E5">
        <w:rPr>
          <w:rFonts w:cstheme="minorHAnsi"/>
          <w:lang w:val="en-US"/>
        </w:rPr>
        <w:t xml:space="preserve">Each of the foregoing individuals has held his or her current office or has held a senior position with </w:t>
      </w:r>
      <w:proofErr w:type="spellStart"/>
      <w:r w:rsidRPr="009034E5">
        <w:rPr>
          <w:rFonts w:cstheme="minorHAnsi"/>
          <w:lang w:val="en-US"/>
        </w:rPr>
        <w:t>Barrantagh</w:t>
      </w:r>
      <w:proofErr w:type="spellEnd"/>
      <w:r w:rsidRPr="009034E5">
        <w:rPr>
          <w:rFonts w:cstheme="minorHAnsi"/>
          <w:lang w:val="en-US"/>
        </w:rPr>
        <w:t xml:space="preserve"> or an affiliate of </w:t>
      </w:r>
      <w:proofErr w:type="spellStart"/>
      <w:r w:rsidRPr="009034E5">
        <w:rPr>
          <w:rFonts w:cstheme="minorHAnsi"/>
          <w:lang w:val="en-US"/>
        </w:rPr>
        <w:t>Barrantagh</w:t>
      </w:r>
      <w:proofErr w:type="spellEnd"/>
      <w:r w:rsidRPr="009034E5">
        <w:rPr>
          <w:rFonts w:cstheme="minorHAnsi"/>
          <w:lang w:val="en-US"/>
        </w:rPr>
        <w:t xml:space="preserve"> during the five years preceding the date hereof, except Joe D’Angelo, who started with </w:t>
      </w:r>
      <w:proofErr w:type="spellStart"/>
      <w:r w:rsidRPr="009034E5">
        <w:rPr>
          <w:rFonts w:cstheme="minorHAnsi"/>
          <w:lang w:val="en-US"/>
        </w:rPr>
        <w:t>Barrantagh</w:t>
      </w:r>
      <w:proofErr w:type="spellEnd"/>
      <w:r w:rsidRPr="009034E5">
        <w:rPr>
          <w:rFonts w:cstheme="minorHAnsi"/>
          <w:lang w:val="en-US"/>
        </w:rPr>
        <w:t xml:space="preserve"> in December 2015, and Marino Scarmozzino, who started with </w:t>
      </w:r>
      <w:proofErr w:type="spellStart"/>
      <w:r w:rsidRPr="009034E5">
        <w:rPr>
          <w:rFonts w:cstheme="minorHAnsi"/>
          <w:lang w:val="en-US"/>
        </w:rPr>
        <w:t>Barrantagh</w:t>
      </w:r>
      <w:proofErr w:type="spellEnd"/>
      <w:r w:rsidRPr="009034E5">
        <w:rPr>
          <w:rFonts w:cstheme="minorHAnsi"/>
          <w:lang w:val="en-US"/>
        </w:rPr>
        <w:t xml:space="preserve"> in February 2016. </w:t>
      </w:r>
      <w:r w:rsidRPr="009034E5">
        <w:rPr>
          <w:rFonts w:cstheme="minorHAnsi"/>
        </w:rPr>
        <w:t>The following are brief biographies of the directors an</w:t>
      </w:r>
      <w:r w:rsidRPr="00327515">
        <w:rPr>
          <w:rFonts w:cstheme="minorHAnsi"/>
        </w:rPr>
        <w:t xml:space="preserve">d executive officers of </w:t>
      </w:r>
      <w:proofErr w:type="spellStart"/>
      <w:r w:rsidRPr="00327515">
        <w:rPr>
          <w:rFonts w:cstheme="minorHAnsi"/>
        </w:rPr>
        <w:t>Barrantagh</w:t>
      </w:r>
      <w:proofErr w:type="spellEnd"/>
      <w:r w:rsidRPr="00327515">
        <w:rPr>
          <w:rFonts w:cstheme="minorHAnsi"/>
        </w:rPr>
        <w:t>.</w:t>
      </w:r>
    </w:p>
    <w:p w14:paraId="7F53BDC3" w14:textId="0EA62A12" w:rsidR="00517692" w:rsidRPr="00327515" w:rsidRDefault="00517692" w:rsidP="00517692">
      <w:pPr>
        <w:pStyle w:val="BodyTextFirstIndent"/>
        <w:ind w:firstLine="0"/>
        <w:rPr>
          <w:rFonts w:cstheme="minorHAnsi"/>
          <w:lang w:val="en-US"/>
        </w:rPr>
      </w:pPr>
      <w:r w:rsidRPr="00327515">
        <w:rPr>
          <w:rFonts w:cstheme="minorHAnsi"/>
          <w:i/>
          <w:lang w:val="en-US"/>
        </w:rPr>
        <w:t>Walter Kusters</w:t>
      </w:r>
    </w:p>
    <w:p w14:paraId="4AA3D7A0" w14:textId="77777777" w:rsidR="00517692" w:rsidRPr="00327515" w:rsidRDefault="00517692" w:rsidP="00517692">
      <w:pPr>
        <w:pStyle w:val="BodyTextFirstIndent"/>
        <w:ind w:firstLine="0"/>
        <w:rPr>
          <w:rFonts w:cstheme="minorHAnsi"/>
          <w:lang w:val="en-US"/>
        </w:rPr>
      </w:pPr>
      <w:r w:rsidRPr="00327515">
        <w:rPr>
          <w:rFonts w:cstheme="minorHAnsi"/>
          <w:lang w:val="en-US"/>
        </w:rPr>
        <w:t>Walter Kusters brings to his role as President and CEO the benefits of his successful experience managing several billions of dollars in equity and balanced portfolios. His career spans over 20 years working in portfolio management, investment analysis, and merger and acquisition valuation.</w:t>
      </w:r>
    </w:p>
    <w:p w14:paraId="0A9403A6" w14:textId="77777777" w:rsidR="00517692" w:rsidRPr="00327515" w:rsidRDefault="00517692" w:rsidP="00517692">
      <w:pPr>
        <w:pStyle w:val="BodyTextFirstIndent"/>
        <w:ind w:firstLine="0"/>
        <w:rPr>
          <w:rFonts w:cstheme="minorHAnsi"/>
          <w:lang w:val="en-US"/>
        </w:rPr>
      </w:pPr>
      <w:r w:rsidRPr="00327515">
        <w:rPr>
          <w:rFonts w:cstheme="minorHAnsi"/>
          <w:lang w:val="en-US"/>
        </w:rPr>
        <w:t>Walter’s background includes research and analysis for the management of equity assets for Mutual Life (now Sun Life), and the active management of Noranda Inc.’s pension plans.</w:t>
      </w:r>
    </w:p>
    <w:p w14:paraId="6B5CA7B5" w14:textId="77777777" w:rsidR="00517692" w:rsidRPr="00327515" w:rsidRDefault="00517692" w:rsidP="00517692">
      <w:pPr>
        <w:pStyle w:val="BodyTextFirstIndent"/>
        <w:ind w:firstLine="0"/>
        <w:rPr>
          <w:rFonts w:cstheme="minorHAnsi"/>
          <w:lang w:val="en-US"/>
        </w:rPr>
      </w:pPr>
      <w:r w:rsidRPr="00327515">
        <w:rPr>
          <w:rFonts w:cstheme="minorHAnsi"/>
          <w:lang w:val="en-US"/>
        </w:rPr>
        <w:t>At Trimark Investment Management Inc., Walter was responsible for the management of the company’s well-regarded balanced funds. More recently, he was a Chief Investment Officer for CI Funds. His value-oriented management style has led to top-quartile performance by both Canadian balanced and Canadian equity mutual funds.</w:t>
      </w:r>
    </w:p>
    <w:p w14:paraId="5C9AB1A1" w14:textId="77777777" w:rsidR="00517692" w:rsidRPr="00327515" w:rsidRDefault="00517692" w:rsidP="00517692">
      <w:pPr>
        <w:pStyle w:val="BodyTextFirstIndent"/>
        <w:ind w:firstLine="0"/>
        <w:rPr>
          <w:rFonts w:cstheme="minorHAnsi"/>
          <w:lang w:val="en-US"/>
        </w:rPr>
      </w:pPr>
      <w:r w:rsidRPr="00327515">
        <w:rPr>
          <w:rFonts w:cstheme="minorHAnsi"/>
          <w:lang w:val="en-US"/>
        </w:rPr>
        <w:lastRenderedPageBreak/>
        <w:t xml:space="preserve">Walter earned an undergraduate degree in Engineering and an MBA from Queen's University, and is a CFA charter holder. Walter’s experience and discipline make him an invaluable member of </w:t>
      </w:r>
      <w:proofErr w:type="spellStart"/>
      <w:r w:rsidRPr="00327515">
        <w:rPr>
          <w:rFonts w:cstheme="minorHAnsi"/>
          <w:lang w:val="en-US"/>
        </w:rPr>
        <w:t>Barrantagh’s</w:t>
      </w:r>
      <w:proofErr w:type="spellEnd"/>
      <w:r w:rsidRPr="00327515">
        <w:rPr>
          <w:rFonts w:cstheme="minorHAnsi"/>
          <w:lang w:val="en-US"/>
        </w:rPr>
        <w:t xml:space="preserve"> investment team.</w:t>
      </w:r>
    </w:p>
    <w:p w14:paraId="359D5677" w14:textId="44E73034" w:rsidR="00517692" w:rsidRPr="00327515" w:rsidRDefault="00517692" w:rsidP="00517692">
      <w:pPr>
        <w:pStyle w:val="BodyTextFirstIndent"/>
        <w:ind w:firstLine="0"/>
        <w:rPr>
          <w:rFonts w:cstheme="minorHAnsi"/>
          <w:lang w:val="en-US"/>
        </w:rPr>
      </w:pPr>
      <w:r w:rsidRPr="00327515">
        <w:rPr>
          <w:rFonts w:cstheme="minorHAnsi"/>
          <w:i/>
          <w:lang w:val="en-US"/>
        </w:rPr>
        <w:t>Joe D’Angelo</w:t>
      </w:r>
    </w:p>
    <w:p w14:paraId="700AD910" w14:textId="3CEA6BAF" w:rsidR="00517692" w:rsidRPr="00327515" w:rsidRDefault="00517692" w:rsidP="00517692">
      <w:pPr>
        <w:pStyle w:val="BodyTextFirstIndent"/>
        <w:ind w:firstLine="0"/>
        <w:rPr>
          <w:rFonts w:cstheme="minorHAnsi"/>
          <w:lang w:val="en-US"/>
        </w:rPr>
      </w:pPr>
      <w:r w:rsidRPr="00327515">
        <w:rPr>
          <w:rFonts w:cstheme="minorHAnsi"/>
          <w:lang w:val="en-US"/>
        </w:rPr>
        <w:t>Joe D’Angelo brings over 2</w:t>
      </w:r>
      <w:r w:rsidR="00573B51" w:rsidRPr="00327515">
        <w:rPr>
          <w:rFonts w:cstheme="minorHAnsi"/>
          <w:lang w:val="en-US"/>
        </w:rPr>
        <w:t>3</w:t>
      </w:r>
      <w:r w:rsidRPr="00327515">
        <w:rPr>
          <w:rFonts w:cstheme="minorHAnsi"/>
          <w:lang w:val="en-US"/>
        </w:rPr>
        <w:t xml:space="preserve"> years of investment experience to his role as Portfolio Manager for </w:t>
      </w:r>
      <w:proofErr w:type="spellStart"/>
      <w:r w:rsidRPr="00327515">
        <w:rPr>
          <w:rFonts w:cstheme="minorHAnsi"/>
          <w:lang w:val="en-US"/>
        </w:rPr>
        <w:t>Barrantagh</w:t>
      </w:r>
      <w:proofErr w:type="spellEnd"/>
      <w:r w:rsidRPr="00327515">
        <w:rPr>
          <w:rFonts w:cstheme="minorHAnsi"/>
          <w:lang w:val="en-US"/>
        </w:rPr>
        <w:t>, where he is responsible for our global equity mandates.</w:t>
      </w:r>
    </w:p>
    <w:p w14:paraId="6B361FBD" w14:textId="77777777" w:rsidR="00517692" w:rsidRPr="00327515" w:rsidRDefault="00517692" w:rsidP="00517692">
      <w:pPr>
        <w:pStyle w:val="BodyTextFirstIndent"/>
        <w:ind w:firstLine="0"/>
        <w:rPr>
          <w:rFonts w:cstheme="minorHAnsi"/>
          <w:lang w:val="en-US"/>
        </w:rPr>
      </w:pPr>
      <w:r w:rsidRPr="00327515">
        <w:rPr>
          <w:rFonts w:cstheme="minorHAnsi"/>
          <w:lang w:val="en-US"/>
        </w:rPr>
        <w:t xml:space="preserve">Prior to joining </w:t>
      </w:r>
      <w:proofErr w:type="spellStart"/>
      <w:r w:rsidRPr="00327515">
        <w:rPr>
          <w:rFonts w:cstheme="minorHAnsi"/>
          <w:lang w:val="en-US"/>
        </w:rPr>
        <w:t>Barrantagh</w:t>
      </w:r>
      <w:proofErr w:type="spellEnd"/>
      <w:r w:rsidRPr="00327515">
        <w:rPr>
          <w:rFonts w:cstheme="minorHAnsi"/>
          <w:lang w:val="en-US"/>
        </w:rPr>
        <w:t>, Joe was a Vice President, Portfolio Manager with Signature Global Asset Management of CI Investments, where he spent over 17 years of his career analyzing global companies within various sectors for all of Signature’s global equity mandates.  In addition, he was Co-manager of the Signature Diversified Yield, High Income, and International funds.  Prior to CI, Joe worked in business valuations where he analyzed companies within a variety of sectors.</w:t>
      </w:r>
    </w:p>
    <w:p w14:paraId="166C8947" w14:textId="77777777" w:rsidR="00517692" w:rsidRPr="00327515" w:rsidRDefault="00517692" w:rsidP="00517692">
      <w:pPr>
        <w:pStyle w:val="BodyTextFirstIndent"/>
        <w:ind w:firstLine="0"/>
        <w:rPr>
          <w:rFonts w:cstheme="minorHAnsi"/>
          <w:lang w:val="en-US"/>
        </w:rPr>
      </w:pPr>
      <w:r w:rsidRPr="00327515">
        <w:rPr>
          <w:rFonts w:cstheme="minorHAnsi"/>
          <w:lang w:val="en-US"/>
        </w:rPr>
        <w:t>Joe holds the Chartered Financial Analyst designation, a B.A. in Economics from York University and an M.A. in Economics from the University of Toronto.</w:t>
      </w:r>
    </w:p>
    <w:p w14:paraId="5CDB26C2" w14:textId="743125E3" w:rsidR="00517692" w:rsidRPr="00327515" w:rsidRDefault="00517692" w:rsidP="00517692">
      <w:pPr>
        <w:pStyle w:val="BodyTextFirstIndent"/>
        <w:ind w:firstLine="0"/>
        <w:rPr>
          <w:rFonts w:cstheme="minorHAnsi"/>
          <w:i/>
          <w:lang w:val="en-US"/>
        </w:rPr>
      </w:pPr>
      <w:r w:rsidRPr="00327515">
        <w:rPr>
          <w:rFonts w:cstheme="minorHAnsi"/>
          <w:i/>
          <w:lang w:val="en-US"/>
        </w:rPr>
        <w:t xml:space="preserve">John </w:t>
      </w:r>
      <w:proofErr w:type="spellStart"/>
      <w:r w:rsidRPr="00327515">
        <w:rPr>
          <w:rFonts w:cstheme="minorHAnsi"/>
          <w:i/>
          <w:lang w:val="en-US"/>
        </w:rPr>
        <w:t>Vinnai</w:t>
      </w:r>
      <w:proofErr w:type="spellEnd"/>
    </w:p>
    <w:p w14:paraId="5E6AC2A2" w14:textId="7C78DD58" w:rsidR="00517692" w:rsidRPr="00327515" w:rsidRDefault="00517692" w:rsidP="00517692">
      <w:pPr>
        <w:pStyle w:val="BodyTextFirstIndent"/>
        <w:ind w:firstLine="0"/>
        <w:rPr>
          <w:rFonts w:cstheme="minorHAnsi"/>
          <w:lang w:val="en-US"/>
        </w:rPr>
      </w:pPr>
      <w:r w:rsidRPr="00327515">
        <w:rPr>
          <w:rFonts w:cstheme="minorHAnsi"/>
          <w:lang w:val="en-US"/>
        </w:rPr>
        <w:t xml:space="preserve">John </w:t>
      </w:r>
      <w:proofErr w:type="spellStart"/>
      <w:r w:rsidRPr="00327515">
        <w:rPr>
          <w:rFonts w:cstheme="minorHAnsi"/>
          <w:lang w:val="en-US"/>
        </w:rPr>
        <w:t>Vinnai</w:t>
      </w:r>
      <w:proofErr w:type="spellEnd"/>
      <w:r w:rsidRPr="00327515">
        <w:rPr>
          <w:rFonts w:cstheme="minorHAnsi"/>
          <w:lang w:val="en-US"/>
        </w:rPr>
        <w:t xml:space="preserve"> brings over </w:t>
      </w:r>
      <w:r w:rsidR="00573B51" w:rsidRPr="00327515">
        <w:rPr>
          <w:rFonts w:cstheme="minorHAnsi"/>
          <w:lang w:val="en-US"/>
        </w:rPr>
        <w:t>9</w:t>
      </w:r>
      <w:r w:rsidRPr="00327515">
        <w:rPr>
          <w:rFonts w:cstheme="minorHAnsi"/>
          <w:lang w:val="en-US"/>
        </w:rPr>
        <w:t xml:space="preserve"> years of investment industry experience to his Portfolio Manager role.</w:t>
      </w:r>
    </w:p>
    <w:p w14:paraId="40B998BE" w14:textId="77777777" w:rsidR="00517692" w:rsidRPr="00327515" w:rsidRDefault="00517692" w:rsidP="00517692">
      <w:pPr>
        <w:pStyle w:val="BodyTextFirstIndent"/>
        <w:ind w:firstLine="0"/>
        <w:rPr>
          <w:rFonts w:cstheme="minorHAnsi"/>
          <w:lang w:val="en-US"/>
        </w:rPr>
      </w:pPr>
      <w:r w:rsidRPr="00327515">
        <w:rPr>
          <w:rFonts w:cstheme="minorHAnsi"/>
          <w:lang w:val="en-US"/>
        </w:rPr>
        <w:t xml:space="preserve">At </w:t>
      </w:r>
      <w:proofErr w:type="spellStart"/>
      <w:r w:rsidRPr="00327515">
        <w:rPr>
          <w:rFonts w:cstheme="minorHAnsi"/>
          <w:lang w:val="en-US"/>
        </w:rPr>
        <w:t>Barrantagh</w:t>
      </w:r>
      <w:proofErr w:type="spellEnd"/>
      <w:r w:rsidRPr="00327515">
        <w:rPr>
          <w:rFonts w:cstheme="minorHAnsi"/>
          <w:lang w:val="en-US"/>
        </w:rPr>
        <w:t>, John is responsible for managing the successful Canadian, specialty resource, and oil &amp; gas equity portfolios.</w:t>
      </w:r>
    </w:p>
    <w:p w14:paraId="2B258D56" w14:textId="77777777" w:rsidR="00517692" w:rsidRPr="00327515" w:rsidRDefault="00517692" w:rsidP="00517692">
      <w:pPr>
        <w:pStyle w:val="BodyTextFirstIndent"/>
        <w:ind w:firstLine="0"/>
        <w:rPr>
          <w:rFonts w:cstheme="minorHAnsi"/>
          <w:lang w:val="en-US"/>
        </w:rPr>
      </w:pPr>
      <w:r w:rsidRPr="00327515">
        <w:rPr>
          <w:rFonts w:cstheme="minorHAnsi"/>
          <w:lang w:val="en-US"/>
        </w:rPr>
        <w:t xml:space="preserve">John began his investment career as an Institutional Equity Research Associate on the Canaccord Adams (now Canaccord Genuity) team prior to joining </w:t>
      </w:r>
      <w:proofErr w:type="spellStart"/>
      <w:r w:rsidRPr="00327515">
        <w:rPr>
          <w:rFonts w:cstheme="minorHAnsi"/>
          <w:lang w:val="en-US"/>
        </w:rPr>
        <w:t>Barrantagh</w:t>
      </w:r>
      <w:proofErr w:type="spellEnd"/>
      <w:r w:rsidRPr="00327515">
        <w:rPr>
          <w:rFonts w:cstheme="minorHAnsi"/>
          <w:lang w:val="en-US"/>
        </w:rPr>
        <w:t xml:space="preserve"> as an Equity Analyst.</w:t>
      </w:r>
    </w:p>
    <w:p w14:paraId="5AABEDB0" w14:textId="77777777" w:rsidR="00517692" w:rsidRPr="00327515" w:rsidRDefault="00517692" w:rsidP="00517692">
      <w:pPr>
        <w:pStyle w:val="BodyTextFirstIndent"/>
        <w:ind w:firstLine="0"/>
        <w:rPr>
          <w:rFonts w:cstheme="minorHAnsi"/>
          <w:lang w:val="en-US"/>
        </w:rPr>
      </w:pPr>
      <w:r w:rsidRPr="00327515">
        <w:rPr>
          <w:rFonts w:cstheme="minorHAnsi"/>
          <w:lang w:val="en-US"/>
        </w:rPr>
        <w:t>John received his Engineering degree from Queen’s University, his Master of Business Administration degree from the Richard Ivey School of Business, and is a CFA charter holder.</w:t>
      </w:r>
    </w:p>
    <w:p w14:paraId="10CA63CA" w14:textId="1C875DFE" w:rsidR="00517692" w:rsidRPr="00327515" w:rsidRDefault="00517692" w:rsidP="00517692">
      <w:pPr>
        <w:pStyle w:val="BodyTextFirstIndent"/>
        <w:ind w:firstLine="0"/>
        <w:rPr>
          <w:rFonts w:cstheme="minorHAnsi"/>
          <w:i/>
          <w:lang w:val="en-US"/>
        </w:rPr>
      </w:pPr>
      <w:r w:rsidRPr="00327515">
        <w:rPr>
          <w:rFonts w:cstheme="minorHAnsi"/>
          <w:i/>
          <w:lang w:val="en-US"/>
        </w:rPr>
        <w:t>Marino Scarmozzino</w:t>
      </w:r>
    </w:p>
    <w:p w14:paraId="3F62F09C" w14:textId="77777777" w:rsidR="00517692" w:rsidRPr="00327515" w:rsidRDefault="00517692" w:rsidP="00517692">
      <w:pPr>
        <w:pStyle w:val="BodyTextFirstIndent"/>
        <w:ind w:firstLine="0"/>
        <w:rPr>
          <w:rFonts w:cstheme="minorHAnsi"/>
          <w:lang w:val="en-US"/>
        </w:rPr>
      </w:pPr>
      <w:r w:rsidRPr="00327515">
        <w:rPr>
          <w:rFonts w:cstheme="minorHAnsi"/>
          <w:lang w:val="en-US"/>
        </w:rPr>
        <w:t xml:space="preserve">Marino Scarmozzino has been in the financial services industry for over 20 years. His strong management and organizational skills ensure that </w:t>
      </w:r>
      <w:proofErr w:type="spellStart"/>
      <w:r w:rsidRPr="00327515">
        <w:rPr>
          <w:rFonts w:cstheme="minorHAnsi"/>
          <w:lang w:val="en-US"/>
        </w:rPr>
        <w:t>Barrantagh</w:t>
      </w:r>
      <w:proofErr w:type="spellEnd"/>
      <w:r w:rsidRPr="00327515">
        <w:rPr>
          <w:rFonts w:cstheme="minorHAnsi"/>
          <w:lang w:val="en-US"/>
        </w:rPr>
        <w:t xml:space="preserve"> operates efficiently and delivers the highest quality of client service and financial management.</w:t>
      </w:r>
    </w:p>
    <w:p w14:paraId="51B55B4D" w14:textId="77777777" w:rsidR="00517692" w:rsidRPr="00327515" w:rsidRDefault="00517692" w:rsidP="00517692">
      <w:pPr>
        <w:pStyle w:val="BodyTextFirstIndent"/>
        <w:ind w:firstLine="0"/>
        <w:rPr>
          <w:rFonts w:cstheme="minorHAnsi"/>
          <w:lang w:val="en-US"/>
        </w:rPr>
      </w:pPr>
      <w:r w:rsidRPr="00327515">
        <w:rPr>
          <w:rFonts w:cstheme="minorHAnsi"/>
          <w:lang w:val="en-US"/>
        </w:rPr>
        <w:t xml:space="preserve">Marino manages </w:t>
      </w:r>
      <w:proofErr w:type="spellStart"/>
      <w:r w:rsidRPr="00327515">
        <w:rPr>
          <w:rFonts w:cstheme="minorHAnsi"/>
          <w:lang w:val="en-US"/>
        </w:rPr>
        <w:t>Barrantagh’s</w:t>
      </w:r>
      <w:proofErr w:type="spellEnd"/>
      <w:r w:rsidRPr="00327515">
        <w:rPr>
          <w:rFonts w:cstheme="minorHAnsi"/>
          <w:lang w:val="en-US"/>
        </w:rPr>
        <w:t xml:space="preserve"> day-to-day business activities including the office staff.  He has overall responsibility for finance, operations, human resources and client administration services.</w:t>
      </w:r>
    </w:p>
    <w:p w14:paraId="357C6F84" w14:textId="77777777" w:rsidR="00517692" w:rsidRPr="00327515" w:rsidRDefault="00517692" w:rsidP="00517692">
      <w:pPr>
        <w:pStyle w:val="BodyTextFirstIndent"/>
        <w:ind w:firstLine="0"/>
        <w:rPr>
          <w:rFonts w:cstheme="minorHAnsi"/>
          <w:lang w:val="en-US"/>
        </w:rPr>
      </w:pPr>
      <w:r w:rsidRPr="00327515">
        <w:rPr>
          <w:rFonts w:cstheme="minorHAnsi"/>
          <w:lang w:val="en-US"/>
        </w:rPr>
        <w:t xml:space="preserve">Marino was formerly Chief Operating Officer at AIG Asset Management Canada with over $6 billion in assets under administration. During his time at </w:t>
      </w:r>
      <w:proofErr w:type="gramStart"/>
      <w:r w:rsidRPr="00327515">
        <w:rPr>
          <w:rFonts w:cstheme="minorHAnsi"/>
          <w:lang w:val="en-US"/>
        </w:rPr>
        <w:t>AIG</w:t>
      </w:r>
      <w:proofErr w:type="gramEnd"/>
      <w:r w:rsidRPr="00327515">
        <w:rPr>
          <w:rFonts w:cstheme="minorHAnsi"/>
          <w:lang w:val="en-US"/>
        </w:rPr>
        <w:t xml:space="preserve"> he was responsible for finance, operations, reporting and compliance.</w:t>
      </w:r>
    </w:p>
    <w:p w14:paraId="01CEECEE" w14:textId="77777777" w:rsidR="00517692" w:rsidRPr="008B7600" w:rsidRDefault="00517692" w:rsidP="00517692">
      <w:pPr>
        <w:pStyle w:val="BodyTextFirstIndent"/>
        <w:ind w:firstLine="0"/>
        <w:rPr>
          <w:rFonts w:cstheme="minorHAnsi"/>
          <w:lang w:val="en-US"/>
        </w:rPr>
      </w:pPr>
      <w:r w:rsidRPr="00327515">
        <w:rPr>
          <w:rFonts w:cstheme="minorHAnsi"/>
          <w:lang w:val="en-US"/>
        </w:rPr>
        <w:t xml:space="preserve">Marino brings the same level of skill and dedication to the administrative aspects of our clients’ accounts as our </w:t>
      </w:r>
      <w:r w:rsidRPr="008B7600">
        <w:rPr>
          <w:rFonts w:cstheme="minorHAnsi"/>
          <w:lang w:val="en-US"/>
        </w:rPr>
        <w:t>investment team brings to the management of their assets.</w:t>
      </w:r>
    </w:p>
    <w:p w14:paraId="7A640EFE" w14:textId="77777777" w:rsidR="00517692" w:rsidRPr="008B7600" w:rsidRDefault="00517692" w:rsidP="00517692">
      <w:pPr>
        <w:pStyle w:val="BodyTextFirstIndent"/>
        <w:ind w:firstLine="0"/>
        <w:rPr>
          <w:rFonts w:cstheme="minorHAnsi"/>
          <w:lang w:val="en-US"/>
        </w:rPr>
      </w:pPr>
      <w:r w:rsidRPr="008B7600">
        <w:rPr>
          <w:rFonts w:cstheme="minorHAnsi"/>
          <w:lang w:val="en-US"/>
        </w:rPr>
        <w:t>Marino has obtained the Chartered Professional Accountant (CPA, CGA) designation.</w:t>
      </w:r>
    </w:p>
    <w:p w14:paraId="6BA030BE" w14:textId="77777777" w:rsidR="00517692" w:rsidRPr="008B7600" w:rsidRDefault="00517692" w:rsidP="00517692">
      <w:pPr>
        <w:pStyle w:val="Heading3"/>
        <w:keepNext/>
        <w:spacing w:after="210"/>
        <w:rPr>
          <w:rFonts w:asciiTheme="minorHAnsi" w:hAnsiTheme="minorHAnsi" w:cstheme="minorHAnsi"/>
          <w:lang w:val="en-US"/>
        </w:rPr>
      </w:pPr>
      <w:r w:rsidRPr="008B7600">
        <w:rPr>
          <w:rFonts w:asciiTheme="minorHAnsi" w:hAnsiTheme="minorHAnsi" w:cstheme="minorHAnsi"/>
          <w:lang w:val="en-US"/>
        </w:rPr>
        <w:lastRenderedPageBreak/>
        <w:t xml:space="preserve">Duties and Services to be Provided by </w:t>
      </w:r>
      <w:proofErr w:type="spellStart"/>
      <w:r w:rsidRPr="008B7600">
        <w:rPr>
          <w:rFonts w:asciiTheme="minorHAnsi" w:hAnsiTheme="minorHAnsi" w:cstheme="minorHAnsi"/>
          <w:lang w:val="en-US"/>
        </w:rPr>
        <w:t>Barrantagh</w:t>
      </w:r>
      <w:proofErr w:type="spellEnd"/>
    </w:p>
    <w:p w14:paraId="7B7ACD59" w14:textId="77777777" w:rsidR="00517692" w:rsidRPr="008B7600" w:rsidRDefault="00517692" w:rsidP="00517692">
      <w:pPr>
        <w:pStyle w:val="BodyTextFirstIndent"/>
        <w:keepNext/>
        <w:keepLines/>
        <w:ind w:firstLine="0"/>
        <w:rPr>
          <w:rFonts w:cstheme="minorHAnsi"/>
        </w:rPr>
      </w:pPr>
      <w:r w:rsidRPr="008B7600">
        <w:rPr>
          <w:rFonts w:cstheme="minorHAnsi"/>
        </w:rPr>
        <w:t xml:space="preserve">Pursuant to the Declaration, </w:t>
      </w:r>
      <w:proofErr w:type="spellStart"/>
      <w:r w:rsidRPr="008B7600">
        <w:rPr>
          <w:rFonts w:cstheme="minorHAnsi"/>
          <w:lang w:val="en-US"/>
        </w:rPr>
        <w:t>Barrantagh</w:t>
      </w:r>
      <w:proofErr w:type="spellEnd"/>
      <w:r w:rsidRPr="008B7600">
        <w:rPr>
          <w:rFonts w:cstheme="minorHAnsi"/>
        </w:rPr>
        <w:t xml:space="preserve"> </w:t>
      </w:r>
      <w:r w:rsidRPr="008B7600">
        <w:rPr>
          <w:rFonts w:cstheme="minorHAnsi"/>
          <w:lang w:val="en-US"/>
        </w:rPr>
        <w:t xml:space="preserve">is the trustee, </w:t>
      </w:r>
      <w:proofErr w:type="gramStart"/>
      <w:r w:rsidRPr="008B7600">
        <w:rPr>
          <w:rFonts w:cstheme="minorHAnsi"/>
          <w:lang w:val="en-US"/>
        </w:rPr>
        <w:t>manager</w:t>
      </w:r>
      <w:proofErr w:type="gramEnd"/>
      <w:r w:rsidRPr="008B7600">
        <w:rPr>
          <w:rFonts w:cstheme="minorHAnsi"/>
          <w:lang w:val="en-US"/>
        </w:rPr>
        <w:t xml:space="preserve"> and portfolio advisor of the Fund and, as such, is</w:t>
      </w:r>
      <w:r w:rsidRPr="008B7600">
        <w:rPr>
          <w:rFonts w:cstheme="minorHAnsi"/>
        </w:rPr>
        <w:t xml:space="preserve"> </w:t>
      </w:r>
      <w:r w:rsidRPr="008B7600">
        <w:rPr>
          <w:rFonts w:cstheme="minorHAnsi"/>
          <w:lang w:val="en-US"/>
        </w:rPr>
        <w:t>responsible for providing, or arranging for the provision of, managerial, administrative and compliance services to</w:t>
      </w:r>
      <w:r w:rsidRPr="008B7600">
        <w:rPr>
          <w:rFonts w:cstheme="minorHAnsi"/>
        </w:rPr>
        <w:t xml:space="preserve"> </w:t>
      </w:r>
      <w:r w:rsidRPr="008B7600">
        <w:rPr>
          <w:rFonts w:cstheme="minorHAnsi"/>
          <w:lang w:val="en-US"/>
        </w:rPr>
        <w:t>the Fund.  Administrative</w:t>
      </w:r>
      <w:r w:rsidRPr="008B7600">
        <w:rPr>
          <w:rFonts w:cstheme="minorHAnsi"/>
        </w:rPr>
        <w:t xml:space="preserve"> </w:t>
      </w:r>
      <w:r w:rsidRPr="008B7600">
        <w:rPr>
          <w:rFonts w:cstheme="minorHAnsi"/>
          <w:lang w:val="en-US"/>
        </w:rPr>
        <w:t>services include, without limitation: authorizing the payment of operating expenses incurred on</w:t>
      </w:r>
      <w:r w:rsidRPr="008B7600">
        <w:rPr>
          <w:rFonts w:cstheme="minorHAnsi"/>
        </w:rPr>
        <w:t xml:space="preserve"> </w:t>
      </w:r>
      <w:r w:rsidRPr="008B7600">
        <w:rPr>
          <w:rFonts w:cstheme="minorHAnsi"/>
          <w:lang w:val="en-US"/>
        </w:rPr>
        <w:t>behalf of the Fund; preparing financial statements and financial and accounting information as required by the</w:t>
      </w:r>
      <w:r w:rsidRPr="008B7600">
        <w:rPr>
          <w:rFonts w:cstheme="minorHAnsi"/>
        </w:rPr>
        <w:t xml:space="preserve"> </w:t>
      </w:r>
      <w:r w:rsidRPr="008B7600">
        <w:rPr>
          <w:rFonts w:cstheme="minorHAnsi"/>
          <w:lang w:val="en-US"/>
        </w:rPr>
        <w:t>Fund; ensuring that Unitholders are provided with financial statements (including interim and annual financial</w:t>
      </w:r>
      <w:r w:rsidRPr="008B7600">
        <w:rPr>
          <w:rFonts w:cstheme="minorHAnsi"/>
        </w:rPr>
        <w:t xml:space="preserve"> </w:t>
      </w:r>
      <w:r w:rsidRPr="008B7600">
        <w:rPr>
          <w:rFonts w:cstheme="minorHAnsi"/>
          <w:lang w:val="en-US"/>
        </w:rPr>
        <w:t>statements) and other reports as are required by applicable law from time to time; ensuring that the Fund comply</w:t>
      </w:r>
      <w:r w:rsidRPr="008B7600">
        <w:rPr>
          <w:rFonts w:cstheme="minorHAnsi"/>
        </w:rPr>
        <w:t xml:space="preserve"> </w:t>
      </w:r>
      <w:r w:rsidRPr="008B7600">
        <w:rPr>
          <w:rFonts w:cstheme="minorHAnsi"/>
          <w:lang w:val="en-US"/>
        </w:rPr>
        <w:t>with regulatory requirements; preparing the Fund’s reports to</w:t>
      </w:r>
      <w:r w:rsidRPr="008B7600">
        <w:rPr>
          <w:rFonts w:cstheme="minorHAnsi"/>
        </w:rPr>
        <w:t xml:space="preserve"> </w:t>
      </w:r>
      <w:r w:rsidRPr="008B7600">
        <w:rPr>
          <w:rFonts w:cstheme="minorHAnsi"/>
          <w:lang w:val="en-US"/>
        </w:rPr>
        <w:t>Unitholders and the Canadian securities regulatory authorities; determining the amount of any distributions to be</w:t>
      </w:r>
      <w:r w:rsidRPr="008B7600">
        <w:rPr>
          <w:rFonts w:cstheme="minorHAnsi"/>
        </w:rPr>
        <w:t xml:space="preserve"> </w:t>
      </w:r>
      <w:r w:rsidRPr="008B7600">
        <w:rPr>
          <w:rFonts w:cstheme="minorHAnsi"/>
          <w:lang w:val="en-US"/>
        </w:rPr>
        <w:t>made by the Fund; negotiating contractual agreements with third party providers of services, including custodians,</w:t>
      </w:r>
      <w:r w:rsidRPr="008B7600">
        <w:rPr>
          <w:rFonts w:cstheme="minorHAnsi"/>
        </w:rPr>
        <w:t xml:space="preserve"> </w:t>
      </w:r>
      <w:r w:rsidRPr="008B7600">
        <w:rPr>
          <w:rFonts w:cstheme="minorHAnsi"/>
          <w:lang w:val="en-US"/>
        </w:rPr>
        <w:t>registrars, transfer agents, fund accountants, auditors and printers; and arranging for any payment required on or</w:t>
      </w:r>
      <w:r w:rsidRPr="008B7600">
        <w:rPr>
          <w:rFonts w:cstheme="minorHAnsi"/>
        </w:rPr>
        <w:t xml:space="preserve"> </w:t>
      </w:r>
      <w:r w:rsidRPr="008B7600">
        <w:rPr>
          <w:rFonts w:cstheme="minorHAnsi"/>
          <w:lang w:val="en-US"/>
        </w:rPr>
        <w:t>about the date of termination of the Fund.</w:t>
      </w:r>
    </w:p>
    <w:p w14:paraId="3124D7ED" w14:textId="77777777" w:rsidR="00517692" w:rsidRPr="008B7600" w:rsidRDefault="00517692" w:rsidP="00517692">
      <w:pPr>
        <w:pStyle w:val="BodyTextFirstIndent"/>
        <w:ind w:firstLine="0"/>
        <w:rPr>
          <w:rFonts w:cstheme="minorHAnsi"/>
        </w:rPr>
      </w:pPr>
      <w:proofErr w:type="spellStart"/>
      <w:r w:rsidRPr="008B7600">
        <w:rPr>
          <w:rFonts w:cstheme="minorHAnsi"/>
          <w:lang w:val="en-US"/>
        </w:rPr>
        <w:t>Barrantagh</w:t>
      </w:r>
      <w:proofErr w:type="spellEnd"/>
      <w:r w:rsidRPr="008B7600">
        <w:rPr>
          <w:rFonts w:cstheme="minorHAnsi"/>
          <w:lang w:val="en-US"/>
        </w:rPr>
        <w:t xml:space="preserve"> is required to exercise its powers and discharge its duties as manager of the Fund</w:t>
      </w:r>
      <w:r w:rsidRPr="008B7600">
        <w:rPr>
          <w:rFonts w:cstheme="minorHAnsi"/>
        </w:rPr>
        <w:t xml:space="preserve"> </w:t>
      </w:r>
      <w:r w:rsidRPr="008B7600">
        <w:rPr>
          <w:rFonts w:cstheme="minorHAnsi"/>
          <w:lang w:val="en-US"/>
        </w:rPr>
        <w:t>honestly, in good faith and in the best interests of the Fund and Unitholders, and, in connection</w:t>
      </w:r>
      <w:r w:rsidRPr="008B7600">
        <w:rPr>
          <w:rFonts w:cstheme="minorHAnsi"/>
        </w:rPr>
        <w:t xml:space="preserve"> </w:t>
      </w:r>
      <w:r w:rsidRPr="008B7600">
        <w:rPr>
          <w:rFonts w:cstheme="minorHAnsi"/>
          <w:lang w:val="en-US"/>
        </w:rPr>
        <w:t>therewith, to exercise the degree of care, diligence and skill that a reasonably prudent manager would exercise in</w:t>
      </w:r>
      <w:r w:rsidRPr="008B7600">
        <w:rPr>
          <w:rFonts w:cstheme="minorHAnsi"/>
        </w:rPr>
        <w:t xml:space="preserve"> </w:t>
      </w:r>
      <w:r w:rsidRPr="008B7600">
        <w:rPr>
          <w:rFonts w:cstheme="minorHAnsi"/>
          <w:lang w:val="en-US"/>
        </w:rPr>
        <w:t>similar circumstances.</w:t>
      </w:r>
      <w:r w:rsidRPr="008B7600">
        <w:rPr>
          <w:rFonts w:cstheme="minorHAnsi"/>
        </w:rPr>
        <w:t xml:space="preserve"> </w:t>
      </w:r>
    </w:p>
    <w:p w14:paraId="6D7C7E08" w14:textId="78024F78" w:rsidR="00517692" w:rsidRPr="008B7600" w:rsidRDefault="00517692" w:rsidP="00517692">
      <w:pPr>
        <w:pStyle w:val="BodyText"/>
        <w:rPr>
          <w:rFonts w:cstheme="minorHAnsi"/>
          <w:b/>
          <w:lang w:val="en-US"/>
        </w:rPr>
      </w:pPr>
      <w:r w:rsidRPr="008B7600">
        <w:rPr>
          <w:rFonts w:cstheme="minorHAnsi"/>
          <w:lang w:val="en-US"/>
        </w:rPr>
        <w:t xml:space="preserve">As manager and trustee of the Fund, </w:t>
      </w:r>
      <w:proofErr w:type="spellStart"/>
      <w:r w:rsidRPr="008B7600">
        <w:rPr>
          <w:rFonts w:cstheme="minorHAnsi"/>
          <w:lang w:val="en-US"/>
        </w:rPr>
        <w:t>Barrantagh</w:t>
      </w:r>
      <w:proofErr w:type="spellEnd"/>
      <w:r w:rsidRPr="008B7600">
        <w:rPr>
          <w:rFonts w:cstheme="minorHAnsi"/>
          <w:lang w:val="en-US"/>
        </w:rPr>
        <w:t xml:space="preserve"> (or any replacement thereof) </w:t>
      </w:r>
      <w:proofErr w:type="gramStart"/>
      <w:r w:rsidRPr="008B7600">
        <w:rPr>
          <w:rFonts w:cstheme="minorHAnsi"/>
          <w:lang w:val="en-US"/>
        </w:rPr>
        <w:t>must at all times</w:t>
      </w:r>
      <w:proofErr w:type="gramEnd"/>
      <w:r w:rsidRPr="008B7600">
        <w:rPr>
          <w:rFonts w:cstheme="minorHAnsi"/>
          <w:lang w:val="en-US"/>
        </w:rPr>
        <w:t xml:space="preserve"> be a resident of Canada </w:t>
      </w:r>
      <w:r w:rsidRPr="008B7600">
        <w:rPr>
          <w:rFonts w:cstheme="minorHAnsi"/>
        </w:rPr>
        <w:t>for</w:t>
      </w:r>
      <w:r w:rsidRPr="008B7600">
        <w:rPr>
          <w:rFonts w:cstheme="minorHAnsi"/>
          <w:lang w:val="en-US"/>
        </w:rPr>
        <w:t xml:space="preserve"> the purposes of the </w:t>
      </w:r>
      <w:r w:rsidR="000D28E5" w:rsidRPr="000D28E5">
        <w:rPr>
          <w:rFonts w:cstheme="minorHAnsi"/>
          <w:i/>
          <w:iCs/>
          <w:lang w:val="en-US"/>
        </w:rPr>
        <w:t xml:space="preserve">Income </w:t>
      </w:r>
      <w:r w:rsidRPr="000D28E5">
        <w:rPr>
          <w:rFonts w:cstheme="minorHAnsi"/>
          <w:i/>
          <w:iCs/>
          <w:lang w:val="en-US"/>
        </w:rPr>
        <w:t>Tax Act</w:t>
      </w:r>
      <w:r w:rsidRPr="008B7600">
        <w:rPr>
          <w:rFonts w:cstheme="minorHAnsi"/>
          <w:lang w:val="en-US"/>
        </w:rPr>
        <w:t xml:space="preserve"> </w:t>
      </w:r>
      <w:r w:rsidR="000D28E5">
        <w:rPr>
          <w:rFonts w:cstheme="minorHAnsi"/>
          <w:lang w:val="en-US"/>
        </w:rPr>
        <w:t>(Canada)</w:t>
      </w:r>
      <w:r w:rsidR="00054CF5">
        <w:rPr>
          <w:rFonts w:cstheme="minorHAnsi"/>
          <w:lang w:val="en-US"/>
        </w:rPr>
        <w:t xml:space="preserve"> (the </w:t>
      </w:r>
      <w:r w:rsidR="00201003">
        <w:rPr>
          <w:rFonts w:cstheme="minorHAnsi"/>
          <w:lang w:val="en-US"/>
        </w:rPr>
        <w:t>“</w:t>
      </w:r>
      <w:r w:rsidR="00054CF5" w:rsidRPr="0054793B">
        <w:rPr>
          <w:rFonts w:cstheme="minorHAnsi"/>
          <w:b/>
          <w:bCs/>
          <w:lang w:val="en-US"/>
        </w:rPr>
        <w:t>Tax Act</w:t>
      </w:r>
      <w:r w:rsidR="00201003" w:rsidRPr="00216EC5">
        <w:rPr>
          <w:rFonts w:cstheme="minorHAnsi"/>
          <w:lang w:val="en-US"/>
        </w:rPr>
        <w:t>”</w:t>
      </w:r>
      <w:r w:rsidR="00054CF5">
        <w:rPr>
          <w:rFonts w:cstheme="minorHAnsi"/>
          <w:lang w:val="en-US"/>
        </w:rPr>
        <w:t>)</w:t>
      </w:r>
      <w:r w:rsidR="000D28E5">
        <w:rPr>
          <w:rFonts w:cstheme="minorHAnsi"/>
          <w:lang w:val="en-US"/>
        </w:rPr>
        <w:t xml:space="preserve"> </w:t>
      </w:r>
      <w:r w:rsidRPr="008B7600">
        <w:rPr>
          <w:rFonts w:cstheme="minorHAnsi"/>
          <w:lang w:val="en-US"/>
        </w:rPr>
        <w:t xml:space="preserve">and carry out its functions of managing the funds in Canada. In addition, </w:t>
      </w:r>
      <w:proofErr w:type="spellStart"/>
      <w:r w:rsidRPr="008B7600">
        <w:rPr>
          <w:rFonts w:cstheme="minorHAnsi"/>
          <w:lang w:val="en-US"/>
        </w:rPr>
        <w:t>Barrantagh</w:t>
      </w:r>
      <w:proofErr w:type="spellEnd"/>
      <w:r w:rsidRPr="008B7600">
        <w:rPr>
          <w:rFonts w:cstheme="minorHAnsi"/>
          <w:lang w:val="en-US"/>
        </w:rPr>
        <w:t xml:space="preserve"> (or any replacement thereof) must </w:t>
      </w:r>
      <w:proofErr w:type="gramStart"/>
      <w:r w:rsidRPr="008B7600">
        <w:rPr>
          <w:rFonts w:cstheme="minorHAnsi"/>
          <w:lang w:val="en-US"/>
        </w:rPr>
        <w:t>at all times</w:t>
      </w:r>
      <w:proofErr w:type="gramEnd"/>
      <w:r w:rsidRPr="008B7600">
        <w:rPr>
          <w:rFonts w:cstheme="minorHAnsi"/>
          <w:lang w:val="en-US"/>
        </w:rPr>
        <w:t xml:space="preserve"> exercise the main powers and discretions of the trustee in respect of the Fund in Canada.</w:t>
      </w:r>
    </w:p>
    <w:p w14:paraId="5BFBD810" w14:textId="31B08D29" w:rsidR="00517692" w:rsidRPr="008B7600" w:rsidRDefault="00517692" w:rsidP="00517692">
      <w:pPr>
        <w:pStyle w:val="BodyTextFirstIndent"/>
        <w:ind w:firstLine="0"/>
        <w:rPr>
          <w:rFonts w:cstheme="minorHAnsi"/>
          <w:lang w:val="en-GB"/>
        </w:rPr>
      </w:pPr>
      <w:proofErr w:type="spellStart"/>
      <w:r w:rsidRPr="008B7600">
        <w:rPr>
          <w:rFonts w:cstheme="minorHAnsi"/>
          <w:lang w:val="en-US"/>
        </w:rPr>
        <w:t>Barrantagh</w:t>
      </w:r>
      <w:proofErr w:type="spellEnd"/>
      <w:r w:rsidRPr="008B7600">
        <w:rPr>
          <w:rFonts w:cstheme="minorHAnsi"/>
          <w:lang w:val="en-US"/>
        </w:rPr>
        <w:t xml:space="preserve"> is entitled to the fees described under “</w:t>
      </w:r>
      <w:r w:rsidRPr="008B7600">
        <w:rPr>
          <w:rFonts w:cstheme="minorHAnsi"/>
          <w:i/>
          <w:lang w:val="en-US"/>
        </w:rPr>
        <w:t>Fees and Expenses</w:t>
      </w:r>
      <w:r w:rsidRPr="008B7600">
        <w:rPr>
          <w:rFonts w:cstheme="minorHAnsi"/>
          <w:lang w:val="en-US"/>
        </w:rPr>
        <w:t>”</w:t>
      </w:r>
      <w:r w:rsidR="00B618BD" w:rsidRPr="008B7600">
        <w:rPr>
          <w:rFonts w:cstheme="minorHAnsi"/>
          <w:lang w:val="en-US"/>
        </w:rPr>
        <w:t xml:space="preserve"> </w:t>
      </w:r>
      <w:r w:rsidRPr="008B7600">
        <w:rPr>
          <w:rFonts w:cstheme="minorHAnsi"/>
          <w:lang w:val="en-US"/>
        </w:rPr>
        <w:t xml:space="preserve">and will be reimbursed for all reasonable costs and expenses incurred on behalf of the Fund.  In addition, </w:t>
      </w:r>
      <w:proofErr w:type="spellStart"/>
      <w:r w:rsidRPr="008B7600">
        <w:rPr>
          <w:rFonts w:cstheme="minorHAnsi"/>
          <w:lang w:val="en-US"/>
        </w:rPr>
        <w:t>Barrantagh</w:t>
      </w:r>
      <w:proofErr w:type="spellEnd"/>
      <w:r w:rsidRPr="008B7600">
        <w:rPr>
          <w:rFonts w:cstheme="minorHAnsi"/>
          <w:lang w:val="en-US"/>
        </w:rPr>
        <w:t xml:space="preserve"> and each of its directors, officers, employees and agents will be indemnified by the Fund </w:t>
      </w:r>
      <w:r w:rsidRPr="008B7600">
        <w:rPr>
          <w:rFonts w:cstheme="minorHAnsi"/>
          <w:lang w:val="en-GB"/>
        </w:rPr>
        <w:t xml:space="preserve">from and against all legal fees, judgements and amounts paid in settlement actually and reasonably incurred by </w:t>
      </w:r>
      <w:proofErr w:type="spellStart"/>
      <w:r w:rsidRPr="008B7600">
        <w:rPr>
          <w:rFonts w:cstheme="minorHAnsi"/>
          <w:lang w:val="en-GB"/>
        </w:rPr>
        <w:t>Barrantagh</w:t>
      </w:r>
      <w:proofErr w:type="spellEnd"/>
      <w:r w:rsidRPr="008B7600">
        <w:rPr>
          <w:rFonts w:cstheme="minorHAnsi"/>
          <w:lang w:val="en-GB"/>
        </w:rPr>
        <w:t xml:space="preserve"> in connection with the services provided by </w:t>
      </w:r>
      <w:proofErr w:type="spellStart"/>
      <w:r w:rsidRPr="008B7600">
        <w:rPr>
          <w:rFonts w:cstheme="minorHAnsi"/>
          <w:lang w:val="en-GB"/>
        </w:rPr>
        <w:t>Barrantagh</w:t>
      </w:r>
      <w:proofErr w:type="spellEnd"/>
      <w:r w:rsidRPr="008B7600">
        <w:rPr>
          <w:rFonts w:cstheme="minorHAnsi"/>
          <w:lang w:val="en-GB"/>
        </w:rPr>
        <w:t xml:space="preserve"> to the Fund unless those fees, judgements and amounts paid in settlement were incurred or suffered as a result of a breach by </w:t>
      </w:r>
      <w:proofErr w:type="spellStart"/>
      <w:r w:rsidRPr="008B7600">
        <w:rPr>
          <w:rFonts w:cstheme="minorHAnsi"/>
          <w:lang w:val="en-GB"/>
        </w:rPr>
        <w:t>Barrantagh</w:t>
      </w:r>
      <w:proofErr w:type="spellEnd"/>
      <w:r w:rsidRPr="008B7600">
        <w:rPr>
          <w:rFonts w:cstheme="minorHAnsi"/>
          <w:lang w:val="en-GB"/>
        </w:rPr>
        <w:t xml:space="preserve"> of its standard of care under the Declaration and provided the Fund has reasonable grounds to believe that the action or inaction that caused the payment of the fee, judgment or amount paid in settlement was in the best interests of the Fund.</w:t>
      </w:r>
    </w:p>
    <w:p w14:paraId="679CD206" w14:textId="77777777" w:rsidR="00517692" w:rsidRPr="008B7600" w:rsidRDefault="00517692" w:rsidP="00517692">
      <w:pPr>
        <w:pStyle w:val="BodyTextFirstIndent"/>
        <w:ind w:firstLine="0"/>
        <w:rPr>
          <w:rFonts w:cstheme="minorHAnsi"/>
        </w:rPr>
      </w:pPr>
      <w:r w:rsidRPr="008B7600">
        <w:rPr>
          <w:rFonts w:cstheme="minorHAnsi"/>
          <w:lang w:val="en-GB"/>
        </w:rPr>
        <w:t xml:space="preserve">As portfolio adviser, </w:t>
      </w:r>
      <w:proofErr w:type="spellStart"/>
      <w:r w:rsidRPr="008B7600">
        <w:rPr>
          <w:rFonts w:cstheme="minorHAnsi"/>
          <w:lang w:val="en-GB"/>
        </w:rPr>
        <w:t>Barrantagh</w:t>
      </w:r>
      <w:proofErr w:type="spellEnd"/>
      <w:r w:rsidRPr="008B7600">
        <w:rPr>
          <w:rFonts w:cstheme="minorHAnsi"/>
          <w:lang w:val="en-GB"/>
        </w:rPr>
        <w:t xml:space="preserve"> manages the Fund’s portfolio assets.  Walter Kusters, the President and CEO of </w:t>
      </w:r>
      <w:proofErr w:type="spellStart"/>
      <w:r w:rsidRPr="008B7600">
        <w:rPr>
          <w:rFonts w:cstheme="minorHAnsi"/>
          <w:lang w:val="en-GB"/>
        </w:rPr>
        <w:t>Barrantagh</w:t>
      </w:r>
      <w:proofErr w:type="spellEnd"/>
      <w:r w:rsidRPr="008B7600">
        <w:rPr>
          <w:rFonts w:cstheme="minorHAnsi"/>
          <w:lang w:val="en-GB"/>
        </w:rPr>
        <w:t>, is principally responsible for day-to-day management of the portfolio. Mr. Kusters has been with the firm since 2002.  During his tenure he has been responsible for the strategic growth of the firm including oversight of client investment activity as well as the sales, service and marketing aspects for both private and institutional clients.</w:t>
      </w:r>
    </w:p>
    <w:p w14:paraId="063225D2" w14:textId="77777777" w:rsidR="00517692" w:rsidRPr="00287043" w:rsidRDefault="00517692" w:rsidP="00517692">
      <w:pPr>
        <w:pStyle w:val="BodyTextFirstIndent"/>
        <w:keepNext/>
        <w:keepLines/>
        <w:ind w:firstLine="0"/>
        <w:rPr>
          <w:rFonts w:cstheme="minorHAnsi"/>
          <w:lang w:val="en-US"/>
        </w:rPr>
      </w:pPr>
      <w:r w:rsidRPr="008B7600">
        <w:rPr>
          <w:rFonts w:cstheme="minorHAnsi"/>
          <w:lang w:val="en-US"/>
        </w:rPr>
        <w:t xml:space="preserve">The administration and management services of </w:t>
      </w:r>
      <w:proofErr w:type="spellStart"/>
      <w:r w:rsidRPr="008B7600">
        <w:rPr>
          <w:rFonts w:cstheme="minorHAnsi"/>
          <w:lang w:val="en-US"/>
        </w:rPr>
        <w:t>Barrantagh</w:t>
      </w:r>
      <w:proofErr w:type="spellEnd"/>
      <w:r w:rsidRPr="008B7600">
        <w:rPr>
          <w:rFonts w:cstheme="minorHAnsi"/>
          <w:lang w:val="en-US"/>
        </w:rPr>
        <w:t xml:space="preserve"> under the Declaration are not exclusive and nothing prevents </w:t>
      </w:r>
      <w:proofErr w:type="spellStart"/>
      <w:r w:rsidRPr="008B7600">
        <w:rPr>
          <w:rFonts w:cstheme="minorHAnsi"/>
          <w:lang w:val="en-US"/>
        </w:rPr>
        <w:t>Barrantagh</w:t>
      </w:r>
      <w:proofErr w:type="spellEnd"/>
      <w:r w:rsidRPr="008B7600">
        <w:rPr>
          <w:rFonts w:cstheme="minorHAnsi"/>
          <w:lang w:val="en-US"/>
        </w:rPr>
        <w:t xml:space="preserve"> from providing similar administrative and management services to other investment funds and other clients (</w:t>
      </w:r>
      <w:proofErr w:type="gramStart"/>
      <w:r w:rsidRPr="008B7600">
        <w:rPr>
          <w:rFonts w:cstheme="minorHAnsi"/>
          <w:lang w:val="en-US"/>
        </w:rPr>
        <w:t>whether or not</w:t>
      </w:r>
      <w:proofErr w:type="gramEnd"/>
      <w:r w:rsidRPr="008B7600">
        <w:rPr>
          <w:rFonts w:cstheme="minorHAnsi"/>
          <w:lang w:val="en-US"/>
        </w:rPr>
        <w:t xml:space="preserve"> their investment </w:t>
      </w:r>
      <w:r w:rsidRPr="00287043">
        <w:rPr>
          <w:rFonts w:cstheme="minorHAnsi"/>
          <w:lang w:val="en-US"/>
        </w:rPr>
        <w:t>objectives and strategies are similar to those of the Fund) or from engaging in other activities.</w:t>
      </w:r>
    </w:p>
    <w:p w14:paraId="4CE1A382" w14:textId="77777777" w:rsidR="00517692" w:rsidRPr="00287043" w:rsidRDefault="00517692" w:rsidP="00517692">
      <w:pPr>
        <w:pStyle w:val="BodyText"/>
        <w:rPr>
          <w:rFonts w:cstheme="minorHAnsi"/>
          <w:b/>
        </w:rPr>
      </w:pPr>
      <w:r w:rsidRPr="00287043">
        <w:rPr>
          <w:rFonts w:cstheme="minorHAnsi"/>
          <w:b/>
        </w:rPr>
        <w:t>Brokerage Arrangements</w:t>
      </w:r>
    </w:p>
    <w:p w14:paraId="074A913D" w14:textId="77777777" w:rsidR="00517692" w:rsidRPr="00287043" w:rsidRDefault="00517692" w:rsidP="00517692">
      <w:pPr>
        <w:pStyle w:val="BodyText"/>
        <w:rPr>
          <w:rFonts w:cstheme="minorHAnsi"/>
        </w:rPr>
      </w:pPr>
      <w:proofErr w:type="spellStart"/>
      <w:r w:rsidRPr="00287043">
        <w:rPr>
          <w:rFonts w:cstheme="minorHAnsi"/>
        </w:rPr>
        <w:lastRenderedPageBreak/>
        <w:t>Barrantagh</w:t>
      </w:r>
      <w:proofErr w:type="spellEnd"/>
      <w:r w:rsidRPr="00287043">
        <w:rPr>
          <w:rFonts w:cstheme="minorHAnsi"/>
        </w:rPr>
        <w:t xml:space="preserve"> utilizes various brokers to effect securities transactions on behalf of the Fund.  These brokers may directly provide </w:t>
      </w:r>
      <w:proofErr w:type="spellStart"/>
      <w:r w:rsidRPr="00287043">
        <w:rPr>
          <w:rFonts w:cstheme="minorHAnsi"/>
        </w:rPr>
        <w:t>Barrantagh</w:t>
      </w:r>
      <w:proofErr w:type="spellEnd"/>
      <w:r w:rsidRPr="00287043">
        <w:rPr>
          <w:rFonts w:cstheme="minorHAnsi"/>
        </w:rPr>
        <w:t xml:space="preserve"> with research and related services including advice, both directly and in writing, as to the value of the securities; the availability of securities, or purchasers or sellers of securities; as well as analysis and reports concerning issuers, industries, securities, economic </w:t>
      </w:r>
      <w:proofErr w:type="gramStart"/>
      <w:r w:rsidRPr="00287043">
        <w:rPr>
          <w:rFonts w:cstheme="minorHAnsi"/>
        </w:rPr>
        <w:t>factors</w:t>
      </w:r>
      <w:proofErr w:type="gramEnd"/>
      <w:r w:rsidRPr="00287043">
        <w:rPr>
          <w:rFonts w:cstheme="minorHAnsi"/>
        </w:rPr>
        <w:t xml:space="preserve"> and trends.  Although the Fund may not benefit equally from the research and related service received from a broker, </w:t>
      </w:r>
      <w:proofErr w:type="spellStart"/>
      <w:r w:rsidRPr="00287043">
        <w:rPr>
          <w:rFonts w:cstheme="minorHAnsi"/>
        </w:rPr>
        <w:t>Barrantagh</w:t>
      </w:r>
      <w:proofErr w:type="spellEnd"/>
      <w:r w:rsidRPr="00287043">
        <w:rPr>
          <w:rFonts w:cstheme="minorHAnsi"/>
        </w:rPr>
        <w:t xml:space="preserve"> will endeavour to ensure that the Fund receives an equitable benefit over time.</w:t>
      </w:r>
    </w:p>
    <w:p w14:paraId="52B290EC" w14:textId="77777777" w:rsidR="00517692" w:rsidRPr="00287043" w:rsidRDefault="00517692" w:rsidP="00517692">
      <w:pPr>
        <w:pStyle w:val="BodyText"/>
        <w:rPr>
          <w:rFonts w:cstheme="minorHAnsi"/>
        </w:rPr>
      </w:pPr>
      <w:proofErr w:type="spellStart"/>
      <w:r w:rsidRPr="00287043">
        <w:rPr>
          <w:rFonts w:cstheme="minorHAnsi"/>
        </w:rPr>
        <w:t>Barrantagh</w:t>
      </w:r>
      <w:proofErr w:type="spellEnd"/>
      <w:r w:rsidRPr="00287043">
        <w:rPr>
          <w:rFonts w:cstheme="minorHAnsi"/>
        </w:rPr>
        <w:t xml:space="preserve"> maintains a list of brokers that have been approved to effect securities transactions on behalf of the Fund.  When determining whether a broker should be added to that list there are numerous factors that are considered including: (a) its reliability, (b) the quality of its execution services on a continuing basis, and (c) its financial condition. When more than one dealer is believed to meet these criteria, preference may be given to dealers who provide research or statistical materials or other services to the Fund or to </w:t>
      </w:r>
      <w:proofErr w:type="spellStart"/>
      <w:r w:rsidRPr="00287043">
        <w:rPr>
          <w:rFonts w:cstheme="minorHAnsi"/>
        </w:rPr>
        <w:t>Barrantagh</w:t>
      </w:r>
      <w:proofErr w:type="spellEnd"/>
      <w:r w:rsidRPr="00287043">
        <w:rPr>
          <w:rFonts w:cstheme="minorHAnsi"/>
        </w:rPr>
        <w:t>.</w:t>
      </w:r>
    </w:p>
    <w:p w14:paraId="276E9DAE" w14:textId="77777777" w:rsidR="00517692" w:rsidRPr="00287043" w:rsidRDefault="00517692" w:rsidP="00517692">
      <w:pPr>
        <w:pStyle w:val="BodyText"/>
        <w:rPr>
          <w:rFonts w:ascii="Arial" w:hAnsi="Arial" w:cs="Arial"/>
        </w:rPr>
      </w:pPr>
      <w:r w:rsidRPr="00287043">
        <w:rPr>
          <w:rFonts w:cstheme="minorHAnsi"/>
        </w:rPr>
        <w:t>Approved brokers are monitored on a regular basis to ensure that the value of the goods and services, as outlined above, provides a reasonable benefit as compared to the amount</w:t>
      </w:r>
      <w:r w:rsidRPr="00287043">
        <w:rPr>
          <w:rFonts w:ascii="Arial" w:hAnsi="Arial" w:cs="Arial"/>
        </w:rPr>
        <w:t xml:space="preserve"> of brokerage commissions paid for the goods and services. In conducting this analysis, </w:t>
      </w:r>
      <w:proofErr w:type="spellStart"/>
      <w:r w:rsidRPr="00287043">
        <w:rPr>
          <w:rFonts w:ascii="Arial" w:hAnsi="Arial" w:cs="Arial"/>
        </w:rPr>
        <w:t>Barrantagh</w:t>
      </w:r>
      <w:proofErr w:type="spellEnd"/>
      <w:r w:rsidRPr="00287043">
        <w:rPr>
          <w:rFonts w:ascii="Arial" w:hAnsi="Arial" w:cs="Arial"/>
        </w:rPr>
        <w:t xml:space="preserve"> considers the use of the goods and services, execution quality in terms of trade impact and the ability to achieve the target benchmark price, as well as the amount of brokerage commissions paid relative to other brokers and the market in general.  </w:t>
      </w:r>
    </w:p>
    <w:p w14:paraId="59A3DDEC" w14:textId="77777777" w:rsidR="00517692" w:rsidRPr="00287043" w:rsidRDefault="00517692" w:rsidP="00517692">
      <w:pPr>
        <w:pStyle w:val="BodyText"/>
        <w:rPr>
          <w:rFonts w:ascii="Arial" w:hAnsi="Arial" w:cs="Arial"/>
        </w:rPr>
      </w:pPr>
      <w:r w:rsidRPr="00287043">
        <w:rPr>
          <w:rFonts w:ascii="Arial" w:hAnsi="Arial" w:cs="Arial"/>
        </w:rPr>
        <w:t xml:space="preserve">Additional information including the services supplied by each broker can be obtained at no cost by contacting </w:t>
      </w:r>
      <w:proofErr w:type="spellStart"/>
      <w:r w:rsidRPr="00287043">
        <w:rPr>
          <w:rFonts w:ascii="Arial" w:hAnsi="Arial" w:cs="Arial"/>
        </w:rPr>
        <w:t>Barrantagh</w:t>
      </w:r>
      <w:proofErr w:type="spellEnd"/>
      <w:r w:rsidRPr="00287043">
        <w:rPr>
          <w:rFonts w:ascii="Arial" w:hAnsi="Arial" w:cs="Arial"/>
        </w:rPr>
        <w:t xml:space="preserve"> at info@barrantagh.com.</w:t>
      </w:r>
    </w:p>
    <w:p w14:paraId="7E858C09" w14:textId="77777777" w:rsidR="00517692" w:rsidRPr="002C5257" w:rsidRDefault="00517692" w:rsidP="00517692">
      <w:pPr>
        <w:pStyle w:val="BodyText"/>
        <w:keepNext/>
        <w:rPr>
          <w:rFonts w:ascii="Arial" w:hAnsi="Arial" w:cs="Arial"/>
          <w:b/>
        </w:rPr>
      </w:pPr>
      <w:r w:rsidRPr="00287043">
        <w:rPr>
          <w:rFonts w:ascii="Arial" w:hAnsi="Arial" w:cs="Arial"/>
          <w:b/>
        </w:rPr>
        <w:t xml:space="preserve">Directors, </w:t>
      </w:r>
      <w:r w:rsidRPr="002C5257">
        <w:rPr>
          <w:rFonts w:ascii="Arial" w:hAnsi="Arial" w:cs="Arial"/>
          <w:b/>
        </w:rPr>
        <w:t xml:space="preserve">Executive </w:t>
      </w:r>
      <w:proofErr w:type="gramStart"/>
      <w:r w:rsidRPr="002C5257">
        <w:rPr>
          <w:rFonts w:ascii="Arial" w:hAnsi="Arial" w:cs="Arial"/>
          <w:b/>
        </w:rPr>
        <w:t>Officers</w:t>
      </w:r>
      <w:proofErr w:type="gramEnd"/>
      <w:r w:rsidRPr="002C5257">
        <w:rPr>
          <w:rFonts w:ascii="Arial" w:hAnsi="Arial" w:cs="Arial"/>
          <w:b/>
        </w:rPr>
        <w:t xml:space="preserve"> and Trustees</w:t>
      </w:r>
    </w:p>
    <w:p w14:paraId="645A2549" w14:textId="77777777" w:rsidR="00517692" w:rsidRPr="002C5257" w:rsidRDefault="00517692" w:rsidP="00517692">
      <w:pPr>
        <w:pStyle w:val="BodyText"/>
        <w:keepNext/>
        <w:rPr>
          <w:rFonts w:cstheme="minorHAnsi"/>
        </w:rPr>
      </w:pPr>
      <w:r w:rsidRPr="002C5257">
        <w:rPr>
          <w:rFonts w:cstheme="minorHAnsi"/>
        </w:rPr>
        <w:t xml:space="preserve">As a trust, the Fund does not have directors or executive officers.  </w:t>
      </w:r>
      <w:proofErr w:type="spellStart"/>
      <w:r w:rsidRPr="002C5257">
        <w:rPr>
          <w:rFonts w:cstheme="minorHAnsi"/>
        </w:rPr>
        <w:t>Barrantagh</w:t>
      </w:r>
      <w:proofErr w:type="spellEnd"/>
      <w:r w:rsidRPr="002C5257">
        <w:rPr>
          <w:rFonts w:cstheme="minorHAnsi"/>
        </w:rPr>
        <w:t xml:space="preserve"> acts as the Fund’s trustee under the Declaration.</w:t>
      </w:r>
    </w:p>
    <w:p w14:paraId="715550A3" w14:textId="77777777" w:rsidR="00517692" w:rsidRPr="002C5257" w:rsidRDefault="00517692" w:rsidP="00517692">
      <w:pPr>
        <w:pStyle w:val="BodyText"/>
        <w:rPr>
          <w:rFonts w:cstheme="minorHAnsi"/>
          <w:b/>
        </w:rPr>
      </w:pPr>
      <w:r w:rsidRPr="002C5257">
        <w:rPr>
          <w:rFonts w:cstheme="minorHAnsi"/>
          <w:b/>
        </w:rPr>
        <w:t>Custodian</w:t>
      </w:r>
    </w:p>
    <w:p w14:paraId="7103655D" w14:textId="77777777" w:rsidR="00517692" w:rsidRPr="002C5257" w:rsidRDefault="00517692" w:rsidP="00517692">
      <w:pPr>
        <w:pStyle w:val="BodyText"/>
        <w:rPr>
          <w:rFonts w:cstheme="minorHAnsi"/>
        </w:rPr>
      </w:pPr>
      <w:r w:rsidRPr="002C5257">
        <w:rPr>
          <w:rFonts w:cstheme="minorHAnsi"/>
        </w:rPr>
        <w:t xml:space="preserve">Pursuant to the Custodian Agreement, RBC Investor Services Trust is the custodian of the assets of the Fund. The address of the Custodian is 155 Wellington Street West, 10th Floor, Toronto, ON M5V 3L3, Canada.  </w:t>
      </w:r>
      <w:proofErr w:type="spellStart"/>
      <w:r w:rsidRPr="002C5257">
        <w:rPr>
          <w:rFonts w:cstheme="minorHAnsi"/>
        </w:rPr>
        <w:t>Barrantagh</w:t>
      </w:r>
      <w:proofErr w:type="spellEnd"/>
      <w:r w:rsidRPr="002C5257">
        <w:rPr>
          <w:rFonts w:cstheme="minorHAnsi"/>
        </w:rPr>
        <w:t xml:space="preserve">, on behalf of the Fund, or the Custodian may terminate the Custodian Agreement upon at least 90 days’ written notice or immediately in the event of a bankruptcy event in respect of a party that is not cured within 30 days.  </w:t>
      </w:r>
      <w:proofErr w:type="spellStart"/>
      <w:r w:rsidRPr="002C5257">
        <w:rPr>
          <w:rFonts w:cstheme="minorHAnsi"/>
        </w:rPr>
        <w:t>Barrantagh</w:t>
      </w:r>
      <w:proofErr w:type="spellEnd"/>
      <w:r w:rsidRPr="002C5257">
        <w:rPr>
          <w:rFonts w:cstheme="minorHAnsi"/>
        </w:rPr>
        <w:t>, on behalf of the Fund, may terminate the Custodian Agreement immediately if the Custodian ceases to be qualified to act as a custodian of the Fund under applicable law.  The Custodian is entitled to receive fees from the Fund and to be reimbursed for all expenses and liabilities that are properly incurred by the Custodian in connection with the activities of the Fund.</w:t>
      </w:r>
    </w:p>
    <w:p w14:paraId="2A548D35" w14:textId="77777777" w:rsidR="00517692" w:rsidRPr="002C5257" w:rsidRDefault="00517692" w:rsidP="00517692">
      <w:pPr>
        <w:pStyle w:val="BodyText"/>
        <w:keepNext/>
        <w:rPr>
          <w:rFonts w:cstheme="minorHAnsi"/>
          <w:b/>
        </w:rPr>
      </w:pPr>
      <w:r w:rsidRPr="002C5257">
        <w:rPr>
          <w:rFonts w:cstheme="minorHAnsi"/>
          <w:b/>
        </w:rPr>
        <w:t>Securities Lending Agent</w:t>
      </w:r>
    </w:p>
    <w:p w14:paraId="08B9FDCD" w14:textId="05123A15" w:rsidR="00517692" w:rsidRPr="002C5257" w:rsidRDefault="00517692" w:rsidP="00517692">
      <w:pPr>
        <w:pStyle w:val="BodyText"/>
        <w:rPr>
          <w:rFonts w:ascii="Arial" w:hAnsi="Arial" w:cs="Arial"/>
          <w:b/>
        </w:rPr>
      </w:pPr>
      <w:r w:rsidRPr="002C5257">
        <w:rPr>
          <w:rFonts w:cstheme="minorHAnsi"/>
        </w:rPr>
        <w:t xml:space="preserve">The Fund does not currently engage in securities lending.  </w:t>
      </w:r>
      <w:proofErr w:type="gramStart"/>
      <w:r w:rsidRPr="002C5257">
        <w:rPr>
          <w:rFonts w:cstheme="minorHAnsi"/>
        </w:rPr>
        <w:t>In the event that</w:t>
      </w:r>
      <w:proofErr w:type="gramEnd"/>
      <w:r w:rsidRPr="002C5257">
        <w:rPr>
          <w:rFonts w:cstheme="minorHAnsi"/>
        </w:rPr>
        <w:t xml:space="preserve"> the Fund engages in securities lending, </w:t>
      </w:r>
      <w:proofErr w:type="spellStart"/>
      <w:r w:rsidR="009F60F3">
        <w:rPr>
          <w:rFonts w:cstheme="minorHAnsi"/>
        </w:rPr>
        <w:t>Barrantagh</w:t>
      </w:r>
      <w:proofErr w:type="spellEnd"/>
      <w:r w:rsidRPr="002C5257">
        <w:rPr>
          <w:rFonts w:cstheme="minorHAnsi"/>
        </w:rPr>
        <w:t xml:space="preserve"> will appoint a securities lending agent for the Fund. The securities lending agent will not be an affiliate of </w:t>
      </w:r>
      <w:proofErr w:type="spellStart"/>
      <w:r w:rsidR="00770851">
        <w:rPr>
          <w:rFonts w:cstheme="minorHAnsi"/>
        </w:rPr>
        <w:t>Barrantagh</w:t>
      </w:r>
      <w:proofErr w:type="spellEnd"/>
      <w:r w:rsidRPr="002C5257">
        <w:rPr>
          <w:rFonts w:cstheme="minorHAnsi"/>
        </w:rPr>
        <w:t>.</w:t>
      </w:r>
      <w:r w:rsidRPr="002C5257">
        <w:rPr>
          <w:rFonts w:ascii="Arial" w:hAnsi="Arial" w:cs="Arial"/>
        </w:rPr>
        <w:t xml:space="preserve"> </w:t>
      </w:r>
    </w:p>
    <w:p w14:paraId="624A6941" w14:textId="77777777" w:rsidR="00517692" w:rsidRPr="002C5257" w:rsidRDefault="00517692" w:rsidP="00517692">
      <w:pPr>
        <w:pStyle w:val="BodyText"/>
        <w:rPr>
          <w:rFonts w:ascii="Arial" w:hAnsi="Arial" w:cs="Arial"/>
          <w:b/>
        </w:rPr>
      </w:pPr>
      <w:r w:rsidRPr="002C5257">
        <w:rPr>
          <w:rFonts w:ascii="Arial" w:hAnsi="Arial" w:cs="Arial"/>
          <w:b/>
        </w:rPr>
        <w:t>Auditor</w:t>
      </w:r>
    </w:p>
    <w:p w14:paraId="5BB4BCE7" w14:textId="77777777" w:rsidR="00517692" w:rsidRPr="002C5257" w:rsidRDefault="00517692" w:rsidP="00517692">
      <w:pPr>
        <w:autoSpaceDE w:val="0"/>
        <w:autoSpaceDN w:val="0"/>
        <w:adjustRightInd w:val="0"/>
        <w:spacing w:after="0"/>
        <w:rPr>
          <w:rFonts w:ascii="Arial" w:hAnsi="Arial" w:cs="Arial"/>
          <w:lang w:val="en-US"/>
        </w:rPr>
      </w:pPr>
      <w:r w:rsidRPr="002C5257">
        <w:rPr>
          <w:rFonts w:ascii="Arial" w:hAnsi="Arial" w:cs="Arial"/>
          <w:lang w:val="en-US"/>
        </w:rPr>
        <w:t>PricewaterhouseCoopers LLP, Chartered Professional Accountants of Toronto, Ontario, is the</w:t>
      </w:r>
    </w:p>
    <w:p w14:paraId="3FBFBF09" w14:textId="77777777" w:rsidR="00517692" w:rsidRPr="002C5257" w:rsidRDefault="00517692" w:rsidP="00517692">
      <w:pPr>
        <w:pStyle w:val="BodyText"/>
        <w:rPr>
          <w:rFonts w:ascii="Arial" w:hAnsi="Arial" w:cs="Arial"/>
        </w:rPr>
      </w:pPr>
      <w:r w:rsidRPr="002C5257">
        <w:rPr>
          <w:rFonts w:ascii="Arial" w:hAnsi="Arial" w:cs="Arial"/>
          <w:lang w:val="en-US"/>
        </w:rPr>
        <w:lastRenderedPageBreak/>
        <w:t>auditor of the Fund.</w:t>
      </w:r>
    </w:p>
    <w:p w14:paraId="3A10A34C" w14:textId="77777777" w:rsidR="00517692" w:rsidRPr="002C5257" w:rsidRDefault="00517692" w:rsidP="00517692">
      <w:pPr>
        <w:pStyle w:val="BodyText"/>
        <w:keepNext/>
        <w:rPr>
          <w:rFonts w:ascii="Arial" w:hAnsi="Arial" w:cs="Arial"/>
          <w:b/>
        </w:rPr>
      </w:pPr>
      <w:r w:rsidRPr="002C5257">
        <w:rPr>
          <w:rFonts w:ascii="Arial" w:hAnsi="Arial" w:cs="Arial"/>
          <w:b/>
        </w:rPr>
        <w:t>Registrar and Valuation Agent</w:t>
      </w:r>
    </w:p>
    <w:p w14:paraId="2B556B15" w14:textId="6844FFA2" w:rsidR="00517692" w:rsidRPr="002C5257" w:rsidRDefault="00517692" w:rsidP="00517692">
      <w:pPr>
        <w:pStyle w:val="BodyText"/>
        <w:rPr>
          <w:rFonts w:ascii="Arial" w:hAnsi="Arial" w:cs="Arial"/>
        </w:rPr>
      </w:pPr>
      <w:r w:rsidRPr="002C5257">
        <w:rPr>
          <w:rFonts w:cstheme="minorHAnsi"/>
        </w:rPr>
        <w:t xml:space="preserve">RBC Investor Services Trust, at its offices in Toronto, Ontario, </w:t>
      </w:r>
      <w:r w:rsidR="002C5257">
        <w:rPr>
          <w:rFonts w:ascii="Arial" w:hAnsi="Arial" w:cs="Arial"/>
        </w:rPr>
        <w:t>acts</w:t>
      </w:r>
      <w:r w:rsidRPr="002C5257">
        <w:rPr>
          <w:rFonts w:ascii="Arial" w:hAnsi="Arial" w:cs="Arial"/>
        </w:rPr>
        <w:t xml:space="preserve"> as the Fund’s registrar and</w:t>
      </w:r>
      <w:r w:rsidR="002C5257">
        <w:rPr>
          <w:rFonts w:ascii="Arial" w:hAnsi="Arial" w:cs="Arial"/>
        </w:rPr>
        <w:t xml:space="preserve"> </w:t>
      </w:r>
      <w:r w:rsidRPr="002C5257">
        <w:rPr>
          <w:rFonts w:ascii="Arial" w:hAnsi="Arial" w:cs="Arial"/>
        </w:rPr>
        <w:t>provide</w:t>
      </w:r>
      <w:r w:rsidR="002C5257">
        <w:rPr>
          <w:rFonts w:ascii="Arial" w:hAnsi="Arial" w:cs="Arial"/>
        </w:rPr>
        <w:t xml:space="preserve">s </w:t>
      </w:r>
      <w:r w:rsidRPr="002C5257">
        <w:rPr>
          <w:rFonts w:ascii="Arial" w:hAnsi="Arial" w:cs="Arial"/>
        </w:rPr>
        <w:t xml:space="preserve">services in relation to the valuation of the </w:t>
      </w:r>
      <w:r w:rsidR="00996D31">
        <w:rPr>
          <w:rFonts w:ascii="Arial" w:hAnsi="Arial" w:cs="Arial"/>
        </w:rPr>
        <w:t>Fund’s</w:t>
      </w:r>
      <w:r w:rsidRPr="002C5257">
        <w:rPr>
          <w:rFonts w:ascii="Arial" w:hAnsi="Arial" w:cs="Arial"/>
        </w:rPr>
        <w:t xml:space="preserve"> assets.  </w:t>
      </w:r>
    </w:p>
    <w:p w14:paraId="06F9E19E" w14:textId="102D9BBD" w:rsidR="00517692" w:rsidRPr="002C5257" w:rsidRDefault="00517692" w:rsidP="00517692">
      <w:pPr>
        <w:pStyle w:val="BodyTextFirstIndent"/>
        <w:ind w:firstLine="0"/>
        <w:rPr>
          <w:rFonts w:ascii="Arial" w:hAnsi="Arial" w:cs="Arial"/>
          <w:bCs/>
        </w:rPr>
      </w:pPr>
      <w:r w:rsidRPr="002C5257">
        <w:rPr>
          <w:rFonts w:cstheme="minorHAnsi"/>
          <w:b/>
          <w:lang w:val="en-US"/>
        </w:rPr>
        <w:t>Independent Review Committee</w:t>
      </w:r>
    </w:p>
    <w:p w14:paraId="3B512DD6" w14:textId="77777777" w:rsidR="00517692" w:rsidRPr="00B92D98" w:rsidRDefault="00517692" w:rsidP="00517692">
      <w:pPr>
        <w:pStyle w:val="BodyTextFirstIndent"/>
        <w:ind w:firstLine="0"/>
        <w:rPr>
          <w:rFonts w:cstheme="minorHAnsi"/>
        </w:rPr>
      </w:pPr>
      <w:r w:rsidRPr="002C5257">
        <w:rPr>
          <w:rFonts w:cstheme="minorHAnsi"/>
        </w:rPr>
        <w:t xml:space="preserve">National Instrument 81-107 </w:t>
      </w:r>
      <w:r w:rsidRPr="002C5257">
        <w:rPr>
          <w:rFonts w:cstheme="minorHAnsi"/>
          <w:i/>
        </w:rPr>
        <w:t>Independent Review Committee for Investment Funds</w:t>
      </w:r>
      <w:r w:rsidRPr="002C5257">
        <w:rPr>
          <w:rFonts w:cstheme="minorHAnsi"/>
        </w:rPr>
        <w:t xml:space="preserve"> (“</w:t>
      </w:r>
      <w:r w:rsidRPr="002C5257">
        <w:rPr>
          <w:rFonts w:cstheme="minorHAnsi"/>
          <w:b/>
        </w:rPr>
        <w:t>NI 81-107</w:t>
      </w:r>
      <w:r w:rsidRPr="002C5257">
        <w:rPr>
          <w:rFonts w:cstheme="minorHAnsi"/>
        </w:rPr>
        <w:t xml:space="preserve">”) requires all publicly offered investment funds, such as the Fund, to establish an independent review committee.  The independent review committee is required to be comprised of a minimum of three members, each of whom must be independent of </w:t>
      </w:r>
      <w:proofErr w:type="spellStart"/>
      <w:r w:rsidRPr="002C5257">
        <w:rPr>
          <w:rFonts w:cstheme="minorHAnsi"/>
        </w:rPr>
        <w:t>Barrantagh</w:t>
      </w:r>
      <w:proofErr w:type="spellEnd"/>
      <w:r w:rsidRPr="002C5257">
        <w:rPr>
          <w:rFonts w:cstheme="minorHAnsi"/>
        </w:rPr>
        <w:t xml:space="preserve">, entities related to </w:t>
      </w:r>
      <w:proofErr w:type="spellStart"/>
      <w:r w:rsidRPr="00B92D98">
        <w:rPr>
          <w:rFonts w:cstheme="minorHAnsi"/>
        </w:rPr>
        <w:t>Barrantagh</w:t>
      </w:r>
      <w:proofErr w:type="spellEnd"/>
      <w:r w:rsidRPr="00B92D98">
        <w:rPr>
          <w:rFonts w:cstheme="minorHAnsi"/>
        </w:rPr>
        <w:t xml:space="preserve"> and the Fund.</w:t>
      </w:r>
    </w:p>
    <w:p w14:paraId="34583080" w14:textId="4A4297B8" w:rsidR="00517692" w:rsidRPr="00B92D98" w:rsidRDefault="00517692" w:rsidP="00517692">
      <w:pPr>
        <w:pStyle w:val="BodyTextFirstIndent"/>
        <w:ind w:firstLine="0"/>
        <w:rPr>
          <w:rFonts w:cstheme="minorHAnsi"/>
        </w:rPr>
      </w:pPr>
      <w:proofErr w:type="spellStart"/>
      <w:r w:rsidRPr="00B92D98">
        <w:rPr>
          <w:rFonts w:cstheme="minorHAnsi"/>
        </w:rPr>
        <w:t>Barrantagh</w:t>
      </w:r>
      <w:proofErr w:type="spellEnd"/>
      <w:r w:rsidRPr="00B92D98">
        <w:rPr>
          <w:rFonts w:cstheme="minorHAnsi"/>
        </w:rPr>
        <w:t xml:space="preserve"> </w:t>
      </w:r>
      <w:bookmarkStart w:id="7" w:name="_Hlk5976118"/>
      <w:r w:rsidRPr="00B92D98">
        <w:rPr>
          <w:rFonts w:cstheme="minorHAnsi"/>
        </w:rPr>
        <w:t>has appointed Gerry Throop (Chairman),</w:t>
      </w:r>
      <w:r w:rsidR="00D36D7D">
        <w:rPr>
          <w:rFonts w:cstheme="minorHAnsi"/>
        </w:rPr>
        <w:t xml:space="preserve"> </w:t>
      </w:r>
      <w:r w:rsidRPr="00B92D98">
        <w:rPr>
          <w:rFonts w:cstheme="minorHAnsi"/>
        </w:rPr>
        <w:t xml:space="preserve">Chris </w:t>
      </w:r>
      <w:r w:rsidRPr="00D36D7D">
        <w:rPr>
          <w:rFonts w:cstheme="minorHAnsi"/>
        </w:rPr>
        <w:t>Enright</w:t>
      </w:r>
      <w:r w:rsidR="00D36D7D" w:rsidRPr="00D36D7D">
        <w:rPr>
          <w:rFonts w:cstheme="minorHAnsi"/>
        </w:rPr>
        <w:t xml:space="preserve"> and </w:t>
      </w:r>
      <w:r w:rsidR="00D36D7D" w:rsidRPr="00D36D7D">
        <w:rPr>
          <w:rFonts w:cstheme="minorHAnsi"/>
          <w:lang w:val="en-US"/>
        </w:rPr>
        <w:t>Gary Grad</w:t>
      </w:r>
      <w:r w:rsidRPr="00D36D7D">
        <w:rPr>
          <w:rFonts w:cstheme="minorHAnsi"/>
        </w:rPr>
        <w:t xml:space="preserve"> </w:t>
      </w:r>
      <w:bookmarkEnd w:id="7"/>
      <w:r w:rsidRPr="00D36D7D">
        <w:rPr>
          <w:rFonts w:cstheme="minorHAnsi"/>
        </w:rPr>
        <w:t>to</w:t>
      </w:r>
      <w:r w:rsidRPr="00B92D98">
        <w:rPr>
          <w:rFonts w:cstheme="minorHAnsi"/>
        </w:rPr>
        <w:t xml:space="preserve"> the independent review committee.  The following are brief biographies provided by the members of the independent review committee: </w:t>
      </w:r>
    </w:p>
    <w:p w14:paraId="36497C76" w14:textId="77777777" w:rsidR="00517692" w:rsidRPr="00B92D98" w:rsidRDefault="00517692" w:rsidP="00517692">
      <w:pPr>
        <w:autoSpaceDE w:val="0"/>
        <w:autoSpaceDN w:val="0"/>
        <w:adjustRightInd w:val="0"/>
        <w:rPr>
          <w:rFonts w:cstheme="minorHAnsi"/>
          <w:i/>
        </w:rPr>
      </w:pPr>
      <w:r w:rsidRPr="00B92D98">
        <w:rPr>
          <w:rFonts w:cstheme="minorHAnsi"/>
          <w:i/>
        </w:rPr>
        <w:t>Gerry Throop</w:t>
      </w:r>
    </w:p>
    <w:p w14:paraId="3C388C2A" w14:textId="77777777" w:rsidR="00517692" w:rsidRPr="00B92D98" w:rsidRDefault="00517692" w:rsidP="00517692">
      <w:pPr>
        <w:autoSpaceDE w:val="0"/>
        <w:autoSpaceDN w:val="0"/>
        <w:adjustRightInd w:val="0"/>
        <w:rPr>
          <w:rFonts w:cstheme="minorHAnsi"/>
        </w:rPr>
      </w:pPr>
      <w:r w:rsidRPr="00B92D98">
        <w:rPr>
          <w:rFonts w:cstheme="minorHAnsi"/>
        </w:rPr>
        <w:t xml:space="preserve">Mr. Throop currently serves as Director and Chair of the Audit Committee for Ceridian HCM Holding Inc. (NYSE, TSX), and as Director of NASDAQ Canada Inc., a wholly-owned subsidiary of NASDAQ Stock Market Inc. Since 2011, Mr. Throop has worked independently as a private equity investor, director, and advisor to early stage companies. Prior to 2011, he spent 17 years in executive leadership positions in the securities and banking industry, including the position of executive vice president, managing director, and head of equities for both National Bank of Canada and Merrill Lynch Canada. Mr. Throop has served as either a member of the Board of Directors or the Chief Financial Officer of several companies that were Toronto Stock Exchange listed at the time of his service, including </w:t>
      </w:r>
      <w:proofErr w:type="spellStart"/>
      <w:r w:rsidRPr="00B92D98">
        <w:rPr>
          <w:rFonts w:cstheme="minorHAnsi"/>
        </w:rPr>
        <w:t>Workbrain</w:t>
      </w:r>
      <w:proofErr w:type="spellEnd"/>
      <w:r w:rsidRPr="00B92D98">
        <w:rPr>
          <w:rFonts w:cstheme="minorHAnsi"/>
        </w:rPr>
        <w:t xml:space="preserve"> Corporation, Toronto Stock Exchange, Call-Net Enterprises/Sprint Canada Inc., and Tie Telecommunications Canada Limited. Mr. Throop is a Chartered Public Accountant.</w:t>
      </w:r>
    </w:p>
    <w:p w14:paraId="6066042B" w14:textId="77777777" w:rsidR="00517692" w:rsidRPr="00B92D98" w:rsidRDefault="00517692" w:rsidP="00517692">
      <w:pPr>
        <w:autoSpaceDE w:val="0"/>
        <w:autoSpaceDN w:val="0"/>
        <w:adjustRightInd w:val="0"/>
        <w:rPr>
          <w:rFonts w:cstheme="minorHAnsi"/>
          <w:lang w:val="en-US"/>
        </w:rPr>
      </w:pPr>
      <w:r w:rsidRPr="00B92D98">
        <w:rPr>
          <w:rFonts w:cstheme="minorHAnsi"/>
          <w:i/>
          <w:lang w:val="en-US"/>
        </w:rPr>
        <w:t>Chris Enright</w:t>
      </w:r>
    </w:p>
    <w:p w14:paraId="44BAC874" w14:textId="77777777" w:rsidR="00517692" w:rsidRPr="00F57565" w:rsidRDefault="00517692" w:rsidP="00517692">
      <w:pPr>
        <w:autoSpaceDE w:val="0"/>
        <w:autoSpaceDN w:val="0"/>
        <w:adjustRightInd w:val="0"/>
        <w:rPr>
          <w:rFonts w:cstheme="minorHAnsi"/>
          <w:lang w:val="en-US"/>
        </w:rPr>
      </w:pPr>
      <w:r w:rsidRPr="00B92D98">
        <w:rPr>
          <w:rFonts w:cstheme="minorHAnsi"/>
          <w:lang w:val="en-US"/>
        </w:rPr>
        <w:t>Mr. Enright is currently the President and Managing Director of Aligned Capital Partners Inc., (ACPI) a securities dealer founded in 1999.  He has been an active member within the securities industry in various capacities since 1994. Mr. En</w:t>
      </w:r>
      <w:r w:rsidRPr="00B92D98">
        <w:rPr>
          <w:rFonts w:cstheme="minorHAnsi"/>
        </w:rPr>
        <w:t>r</w:t>
      </w:r>
      <w:proofErr w:type="spellStart"/>
      <w:r w:rsidRPr="00B92D98">
        <w:rPr>
          <w:rFonts w:cstheme="minorHAnsi"/>
          <w:lang w:val="en-US"/>
        </w:rPr>
        <w:t>ight</w:t>
      </w:r>
      <w:proofErr w:type="spellEnd"/>
      <w:r w:rsidRPr="00B92D98">
        <w:rPr>
          <w:rFonts w:cstheme="minorHAnsi"/>
          <w:lang w:val="en-US"/>
        </w:rPr>
        <w:t xml:space="preserve"> was appointed Senior Vice-President, Wealth Management Distribution at Industrial Alliance Insurance &amp; Financial Services Inc. from 2010 to 2012, where he was responsible for overseeing one of the largest distribution networks in Canada. This network included Industrial Alliance Securities Inc. (a nationally registered securities dealer and IIROC Member) and Industrial Alliance’s Mutual Fund Broker/Dealer network consisting of three subsidiaries:  </w:t>
      </w:r>
      <w:proofErr w:type="spellStart"/>
      <w:r w:rsidRPr="00B92D98">
        <w:rPr>
          <w:rFonts w:cstheme="minorHAnsi"/>
          <w:lang w:val="en-US"/>
        </w:rPr>
        <w:t>FundEX</w:t>
      </w:r>
      <w:proofErr w:type="spellEnd"/>
      <w:r w:rsidRPr="00B92D98">
        <w:rPr>
          <w:rFonts w:cstheme="minorHAnsi"/>
          <w:lang w:val="en-US"/>
        </w:rPr>
        <w:t xml:space="preserve"> Investments Inc., </w:t>
      </w:r>
      <w:proofErr w:type="spellStart"/>
      <w:r w:rsidRPr="00B92D98">
        <w:rPr>
          <w:rFonts w:cstheme="minorHAnsi"/>
          <w:lang w:val="en-US"/>
        </w:rPr>
        <w:t>Investia</w:t>
      </w:r>
      <w:proofErr w:type="spellEnd"/>
      <w:r w:rsidRPr="00B92D98">
        <w:rPr>
          <w:rFonts w:cstheme="minorHAnsi"/>
          <w:lang w:val="en-US"/>
        </w:rPr>
        <w:t xml:space="preserve"> Financial Services Inc., and </w:t>
      </w:r>
      <w:r w:rsidRPr="00F57565">
        <w:rPr>
          <w:rFonts w:cstheme="minorHAnsi"/>
          <w:lang w:val="en-US"/>
        </w:rPr>
        <w:t xml:space="preserve">National Financial Insurance Agency (a national managing general insurance agent). Prior to Mr. Enright’s role at Industrial Alliance, he was the Executive Vice-President of </w:t>
      </w:r>
      <w:proofErr w:type="spellStart"/>
      <w:r w:rsidRPr="00F57565">
        <w:rPr>
          <w:rFonts w:cstheme="minorHAnsi"/>
          <w:lang w:val="en-US"/>
        </w:rPr>
        <w:t>FundEx</w:t>
      </w:r>
      <w:proofErr w:type="spellEnd"/>
      <w:r w:rsidRPr="00F57565">
        <w:rPr>
          <w:rFonts w:cstheme="minorHAnsi"/>
          <w:lang w:val="en-US"/>
        </w:rPr>
        <w:t xml:space="preserve"> from 2006 to 2009, and Managing Director &amp; Co-Founder of </w:t>
      </w:r>
      <w:proofErr w:type="spellStart"/>
      <w:r w:rsidRPr="00F57565">
        <w:rPr>
          <w:rFonts w:cstheme="minorHAnsi"/>
          <w:lang w:val="en-US"/>
        </w:rPr>
        <w:t>FundTrade</w:t>
      </w:r>
      <w:proofErr w:type="spellEnd"/>
      <w:r w:rsidRPr="00F57565">
        <w:rPr>
          <w:rFonts w:cstheme="minorHAnsi"/>
          <w:lang w:val="en-US"/>
        </w:rPr>
        <w:t xml:space="preserve"> Financial Corp. from 1999 to 2006; at which time the company was acquired by Industrial Alliance. Preceding his executive tenure, Mr. Enright’s career highlights include the President of Inter-Equity Asset Management from 1997 to 1999, and Financial Advisor from 1994 to 1997.</w:t>
      </w:r>
    </w:p>
    <w:p w14:paraId="4CA8D405" w14:textId="77777777" w:rsidR="00517692" w:rsidRPr="00F57565" w:rsidRDefault="00517692" w:rsidP="00517692">
      <w:pPr>
        <w:autoSpaceDE w:val="0"/>
        <w:autoSpaceDN w:val="0"/>
        <w:adjustRightInd w:val="0"/>
        <w:rPr>
          <w:rFonts w:cstheme="minorHAnsi"/>
          <w:i/>
          <w:iCs/>
          <w:lang w:val="en-US"/>
        </w:rPr>
      </w:pPr>
      <w:r w:rsidRPr="00F57565">
        <w:rPr>
          <w:rFonts w:cstheme="minorHAnsi"/>
          <w:i/>
          <w:iCs/>
          <w:lang w:val="en-US"/>
        </w:rPr>
        <w:t>Gary Grad</w:t>
      </w:r>
    </w:p>
    <w:p w14:paraId="03DAA168" w14:textId="77777777" w:rsidR="00517692" w:rsidRPr="002E7D20" w:rsidRDefault="00517692" w:rsidP="00517692">
      <w:pPr>
        <w:rPr>
          <w:rFonts w:cstheme="minorHAnsi"/>
        </w:rPr>
      </w:pPr>
      <w:r w:rsidRPr="00F57565">
        <w:rPr>
          <w:rFonts w:cstheme="minorHAnsi"/>
          <w:szCs w:val="20"/>
        </w:rPr>
        <w:lastRenderedPageBreak/>
        <w:t xml:space="preserve">Mr. Grad retired from the investment industry in 2018 after a 29-year career. Prior to his retirement, he served as the Chief Investment Officer for CIBC Asset Management. In this role, Mr. Grad was responsible for leading a team of almost 100 investment management professionals managing more than $50 billion across equity, fixed income, </w:t>
      </w:r>
      <w:proofErr w:type="gramStart"/>
      <w:r w:rsidRPr="00F57565">
        <w:rPr>
          <w:rFonts w:cstheme="minorHAnsi"/>
          <w:szCs w:val="20"/>
        </w:rPr>
        <w:t>currency</w:t>
      </w:r>
      <w:proofErr w:type="gramEnd"/>
      <w:r w:rsidRPr="00F57565">
        <w:rPr>
          <w:rFonts w:cstheme="minorHAnsi"/>
          <w:szCs w:val="20"/>
        </w:rPr>
        <w:t xml:space="preserve"> and multi-asset mandates. Prior to this role, he was the Managing Director of Investment Management Research where his team managed a line-up of more than 50 investment managers who managed more than $60 billion for CIBC clients. Mr. Grad also spent nine years as a vice-president at Fidelity Canada where he managed various product support teams. In these roles, he established strong relationships with </w:t>
      </w:r>
      <w:r w:rsidRPr="002E7D20">
        <w:rPr>
          <w:rFonts w:cstheme="minorHAnsi"/>
          <w:szCs w:val="20"/>
        </w:rPr>
        <w:t>Fidelity investment teams world-wide. Mr. Grad began his career as an equity analyst at Mutual Life (now Sun Life). He earned his CFA designation in 1989. In 2018 he completed the NFA, National Commodity Futures Series 3 exam. Mr. Grad is a graduate of the Ivey Business School where he received an Honors Business Administration degree in 1986.</w:t>
      </w:r>
    </w:p>
    <w:p w14:paraId="756EC13C" w14:textId="77777777" w:rsidR="00517692" w:rsidRPr="002E7D20" w:rsidRDefault="00517692" w:rsidP="00517692">
      <w:pPr>
        <w:autoSpaceDE w:val="0"/>
        <w:autoSpaceDN w:val="0"/>
        <w:adjustRightInd w:val="0"/>
        <w:rPr>
          <w:rFonts w:cstheme="minorHAnsi"/>
        </w:rPr>
      </w:pPr>
      <w:r w:rsidRPr="002E7D20">
        <w:rPr>
          <w:rFonts w:cstheme="minorHAnsi"/>
          <w:lang w:val="en-US"/>
        </w:rPr>
        <w:t>For a further description of the mandate and responsibilities of the IRC, see “</w:t>
      </w:r>
      <w:r w:rsidRPr="002E7D20">
        <w:rPr>
          <w:rFonts w:cstheme="minorHAnsi"/>
          <w:i/>
          <w:iCs/>
          <w:lang w:val="en-US"/>
        </w:rPr>
        <w:t>Fund Governance</w:t>
      </w:r>
      <w:r w:rsidRPr="002E7D20">
        <w:rPr>
          <w:rFonts w:cstheme="minorHAnsi"/>
          <w:lang w:val="en-US"/>
        </w:rPr>
        <w:t>”.</w:t>
      </w:r>
    </w:p>
    <w:p w14:paraId="34F80C50" w14:textId="77777777" w:rsidR="00517692" w:rsidRPr="002E7D20" w:rsidRDefault="00517692" w:rsidP="00517692">
      <w:pPr>
        <w:pStyle w:val="Heading1"/>
        <w:rPr>
          <w:rFonts w:asciiTheme="minorHAnsi" w:hAnsiTheme="minorHAnsi" w:cstheme="minorHAnsi"/>
        </w:rPr>
      </w:pPr>
      <w:bookmarkStart w:id="8" w:name="_Toc5968896"/>
      <w:bookmarkStart w:id="9" w:name="_Toc133828629"/>
      <w:r w:rsidRPr="002E7D20">
        <w:rPr>
          <w:rFonts w:asciiTheme="minorHAnsi" w:hAnsiTheme="minorHAnsi" w:cstheme="minorHAnsi"/>
        </w:rPr>
        <w:t>Conflicts of Interest</w:t>
      </w:r>
      <w:bookmarkEnd w:id="8"/>
      <w:bookmarkEnd w:id="9"/>
    </w:p>
    <w:p w14:paraId="5CF6C4BF" w14:textId="77777777" w:rsidR="00517692" w:rsidRPr="002E7D20" w:rsidRDefault="00517692" w:rsidP="00517692">
      <w:pPr>
        <w:pStyle w:val="BodyText"/>
        <w:rPr>
          <w:rFonts w:ascii="Arial" w:hAnsi="Arial" w:cs="Arial"/>
          <w:b/>
        </w:rPr>
      </w:pPr>
      <w:r w:rsidRPr="002E7D20">
        <w:rPr>
          <w:rFonts w:ascii="Arial" w:hAnsi="Arial" w:cs="Arial"/>
          <w:b/>
        </w:rPr>
        <w:t>Affiliated Entities</w:t>
      </w:r>
    </w:p>
    <w:p w14:paraId="01E6C595" w14:textId="77777777" w:rsidR="00517692" w:rsidRPr="002E7D20" w:rsidRDefault="00517692" w:rsidP="00517692">
      <w:pPr>
        <w:pStyle w:val="BodyText"/>
        <w:rPr>
          <w:rFonts w:ascii="Arial" w:hAnsi="Arial" w:cs="Arial"/>
        </w:rPr>
      </w:pPr>
      <w:r w:rsidRPr="002E7D20">
        <w:rPr>
          <w:rFonts w:ascii="Arial" w:hAnsi="Arial" w:cs="Arial"/>
        </w:rPr>
        <w:t xml:space="preserve">No affiliates of </w:t>
      </w:r>
      <w:proofErr w:type="spellStart"/>
      <w:r w:rsidRPr="002E7D20">
        <w:rPr>
          <w:rFonts w:ascii="Arial" w:hAnsi="Arial" w:cs="Arial"/>
        </w:rPr>
        <w:t>Barrantagh</w:t>
      </w:r>
      <w:proofErr w:type="spellEnd"/>
      <w:r w:rsidRPr="002E7D20">
        <w:rPr>
          <w:rFonts w:ascii="Arial" w:hAnsi="Arial" w:cs="Arial"/>
        </w:rPr>
        <w:t xml:space="preserve"> provide services to the Fund.</w:t>
      </w:r>
    </w:p>
    <w:p w14:paraId="0D3691B7" w14:textId="77777777" w:rsidR="00517692" w:rsidRPr="002E7D20" w:rsidRDefault="00517692" w:rsidP="00517692">
      <w:pPr>
        <w:pStyle w:val="Heading1"/>
        <w:rPr>
          <w:rFonts w:asciiTheme="minorHAnsi" w:hAnsiTheme="minorHAnsi" w:cstheme="minorHAnsi"/>
        </w:rPr>
      </w:pPr>
      <w:bookmarkStart w:id="10" w:name="_Toc5968897"/>
      <w:bookmarkStart w:id="11" w:name="_Toc133828630"/>
      <w:r w:rsidRPr="002E7D20">
        <w:rPr>
          <w:rFonts w:asciiTheme="minorHAnsi" w:hAnsiTheme="minorHAnsi" w:cstheme="minorHAnsi"/>
        </w:rPr>
        <w:t>Fund Governance</w:t>
      </w:r>
      <w:bookmarkEnd w:id="10"/>
      <w:bookmarkEnd w:id="11"/>
    </w:p>
    <w:p w14:paraId="0180CFE3" w14:textId="77777777" w:rsidR="00517692" w:rsidRPr="002E7D20" w:rsidRDefault="00517692" w:rsidP="00517692">
      <w:pPr>
        <w:pStyle w:val="BodyText"/>
        <w:rPr>
          <w:rFonts w:ascii="Arial" w:hAnsi="Arial" w:cs="Arial"/>
          <w:bCs/>
        </w:rPr>
      </w:pPr>
      <w:r w:rsidRPr="002E7D20">
        <w:rPr>
          <w:rFonts w:ascii="Arial" w:hAnsi="Arial" w:cs="Arial"/>
          <w:b/>
        </w:rPr>
        <w:t xml:space="preserve">Independent Review Committee </w:t>
      </w:r>
    </w:p>
    <w:p w14:paraId="45B3D6A0" w14:textId="77777777" w:rsidR="00517692" w:rsidRPr="002E7D20" w:rsidRDefault="00517692" w:rsidP="00517692">
      <w:pPr>
        <w:pStyle w:val="BodyTextFirstIndent"/>
        <w:ind w:firstLine="0"/>
        <w:rPr>
          <w:rFonts w:cstheme="minorHAnsi"/>
        </w:rPr>
      </w:pPr>
      <w:r w:rsidRPr="002E7D20">
        <w:rPr>
          <w:rFonts w:cstheme="minorHAnsi"/>
          <w:lang w:val="en-US"/>
        </w:rPr>
        <w:t xml:space="preserve">The mandate of the IRC is to review conflict of interest matters identified and referred to the IRC by </w:t>
      </w:r>
      <w:proofErr w:type="spellStart"/>
      <w:r w:rsidRPr="002E7D20">
        <w:rPr>
          <w:rFonts w:cstheme="minorHAnsi"/>
          <w:lang w:val="en-US"/>
        </w:rPr>
        <w:t>Barrantagh</w:t>
      </w:r>
      <w:proofErr w:type="spellEnd"/>
      <w:r w:rsidRPr="002E7D20">
        <w:rPr>
          <w:rFonts w:cstheme="minorHAnsi"/>
          <w:lang w:val="en-US"/>
        </w:rPr>
        <w:t xml:space="preserve"> and to give an approval or a recommendation, depending on the nature of the </w:t>
      </w:r>
      <w:proofErr w:type="gramStart"/>
      <w:r w:rsidRPr="002E7D20">
        <w:rPr>
          <w:rFonts w:cstheme="minorHAnsi"/>
          <w:lang w:val="en-US"/>
        </w:rPr>
        <w:t>conflict of interest</w:t>
      </w:r>
      <w:proofErr w:type="gramEnd"/>
      <w:r w:rsidRPr="002E7D20">
        <w:rPr>
          <w:rFonts w:cstheme="minorHAnsi"/>
          <w:lang w:val="en-US"/>
        </w:rPr>
        <w:t xml:space="preserve"> matter.  At all times, the members of the IRC are required to act honestly and in good faith and in the best interests of the Fund and, in connection therewith, to exercise the degree of care, diligence and skill that a reasonably prudent person would exercise in comparable circumstances. </w:t>
      </w:r>
    </w:p>
    <w:p w14:paraId="1F3D984A" w14:textId="77777777" w:rsidR="00517692" w:rsidRPr="002E7D20" w:rsidRDefault="00517692" w:rsidP="00517692">
      <w:pPr>
        <w:pStyle w:val="BodyTextFirstIndent"/>
        <w:ind w:firstLine="0"/>
        <w:rPr>
          <w:rFonts w:cstheme="minorHAnsi"/>
        </w:rPr>
      </w:pPr>
      <w:proofErr w:type="spellStart"/>
      <w:r w:rsidRPr="002E7D20">
        <w:rPr>
          <w:rFonts w:cstheme="minorHAnsi"/>
          <w:lang w:val="en-US"/>
        </w:rPr>
        <w:t>Barrantagh</w:t>
      </w:r>
      <w:proofErr w:type="spellEnd"/>
      <w:r w:rsidRPr="002E7D20">
        <w:rPr>
          <w:rFonts w:cstheme="minorHAnsi"/>
          <w:lang w:val="en-US"/>
        </w:rPr>
        <w:t xml:space="preserve"> has established written policies and procedures for dealing with each </w:t>
      </w:r>
      <w:proofErr w:type="gramStart"/>
      <w:r w:rsidRPr="002E7D20">
        <w:rPr>
          <w:rFonts w:cstheme="minorHAnsi"/>
          <w:lang w:val="en-US"/>
        </w:rPr>
        <w:t>conflict of interest</w:t>
      </w:r>
      <w:proofErr w:type="gramEnd"/>
      <w:r w:rsidRPr="002E7D20">
        <w:rPr>
          <w:rFonts w:cstheme="minorHAnsi"/>
          <w:lang w:val="en-US"/>
        </w:rPr>
        <w:t xml:space="preserve"> matter. At least annually, the IRC will review and assess the adequacy and effectiveness of </w:t>
      </w:r>
      <w:proofErr w:type="spellStart"/>
      <w:r w:rsidRPr="002E7D20">
        <w:rPr>
          <w:rFonts w:cstheme="minorHAnsi"/>
          <w:lang w:val="en-US"/>
        </w:rPr>
        <w:t>Barrantagh‘s</w:t>
      </w:r>
      <w:proofErr w:type="spellEnd"/>
      <w:r w:rsidRPr="002E7D20">
        <w:rPr>
          <w:rFonts w:cstheme="minorHAnsi"/>
          <w:lang w:val="en-US"/>
        </w:rPr>
        <w:t xml:space="preserve"> written policies and procedures relating to conflict of interest matters and will conduct a self-assessment of the IRC‘s independence, compensation and effectiveness. </w:t>
      </w:r>
    </w:p>
    <w:p w14:paraId="190816F7" w14:textId="77777777" w:rsidR="00517692" w:rsidRPr="002E7D20" w:rsidRDefault="00517692" w:rsidP="00517692">
      <w:pPr>
        <w:pStyle w:val="BodyTextFirstIndent"/>
        <w:ind w:firstLine="0"/>
        <w:rPr>
          <w:rFonts w:cstheme="minorHAnsi"/>
        </w:rPr>
      </w:pPr>
      <w:proofErr w:type="spellStart"/>
      <w:r w:rsidRPr="002E7D20">
        <w:rPr>
          <w:rFonts w:cstheme="minorHAnsi"/>
          <w:lang w:val="en-US"/>
        </w:rPr>
        <w:t>Barrantagh</w:t>
      </w:r>
      <w:proofErr w:type="spellEnd"/>
      <w:r w:rsidRPr="002E7D20">
        <w:rPr>
          <w:rFonts w:cstheme="minorHAnsi"/>
          <w:lang w:val="en-US"/>
        </w:rPr>
        <w:t xml:space="preserve"> will maintain records of all matters and/or activities subject to the review of the IRC, including a copy of </w:t>
      </w:r>
      <w:proofErr w:type="spellStart"/>
      <w:r w:rsidRPr="002E7D20">
        <w:rPr>
          <w:rFonts w:cstheme="minorHAnsi"/>
          <w:lang w:val="en-US"/>
        </w:rPr>
        <w:t>Barrantagh’s</w:t>
      </w:r>
      <w:proofErr w:type="spellEnd"/>
      <w:r w:rsidRPr="002E7D20">
        <w:rPr>
          <w:rFonts w:cstheme="minorHAnsi"/>
          <w:lang w:val="en-US"/>
        </w:rPr>
        <w:t xml:space="preserve"> written policies and procedures dealing with </w:t>
      </w:r>
      <w:proofErr w:type="gramStart"/>
      <w:r w:rsidRPr="002E7D20">
        <w:rPr>
          <w:rFonts w:cstheme="minorHAnsi"/>
          <w:lang w:val="en-US"/>
        </w:rPr>
        <w:t>conflict of interest</w:t>
      </w:r>
      <w:proofErr w:type="gramEnd"/>
      <w:r w:rsidRPr="002E7D20">
        <w:rPr>
          <w:rFonts w:cstheme="minorHAnsi"/>
          <w:lang w:val="en-US"/>
        </w:rPr>
        <w:t xml:space="preserve"> matters, minutes of IRC meetings, and copies of materials, including any written reports, provided to the IRC. </w:t>
      </w:r>
      <w:proofErr w:type="spellStart"/>
      <w:r w:rsidRPr="002E7D20">
        <w:rPr>
          <w:rFonts w:cstheme="minorHAnsi"/>
          <w:lang w:val="en-US"/>
        </w:rPr>
        <w:t>Barrantagh</w:t>
      </w:r>
      <w:proofErr w:type="spellEnd"/>
      <w:r w:rsidRPr="002E7D20">
        <w:rPr>
          <w:rFonts w:cstheme="minorHAnsi"/>
          <w:lang w:val="en-US"/>
        </w:rPr>
        <w:t xml:space="preserve"> will also provide the IRC with assistance and information sufficient for the IRC to carry out its responsibilities under NI 81-107. </w:t>
      </w:r>
    </w:p>
    <w:p w14:paraId="6665D187" w14:textId="77777777" w:rsidR="00517692" w:rsidRPr="00945C50" w:rsidRDefault="00517692" w:rsidP="00517692">
      <w:pPr>
        <w:pStyle w:val="BodyTextFirstIndent"/>
        <w:ind w:firstLine="0"/>
        <w:rPr>
          <w:rFonts w:cstheme="minorHAnsi"/>
        </w:rPr>
      </w:pPr>
      <w:r w:rsidRPr="002E7D20">
        <w:rPr>
          <w:rFonts w:cstheme="minorHAnsi"/>
          <w:lang w:val="en-US"/>
        </w:rPr>
        <w:t xml:space="preserve">The members of the IRC are entitled to be compensated by the Fund and reimbursed for all reasonable costs </w:t>
      </w:r>
      <w:r w:rsidRPr="00907B60">
        <w:rPr>
          <w:rFonts w:cstheme="minorHAnsi"/>
          <w:lang w:val="en-US"/>
        </w:rPr>
        <w:t xml:space="preserve">and expenses for the duties they perform as IRC members. In addition, the members of the IRC are entitled to be indemnified by the Fund, except in cases of willful misconduct, </w:t>
      </w:r>
      <w:r w:rsidRPr="00945C50">
        <w:rPr>
          <w:rFonts w:cstheme="minorHAnsi"/>
          <w:lang w:val="en-US"/>
        </w:rPr>
        <w:t>bad faith, negligence or breach of their standard of care.</w:t>
      </w:r>
    </w:p>
    <w:p w14:paraId="6B24130A" w14:textId="77777777" w:rsidR="00517692" w:rsidRPr="00945C50" w:rsidRDefault="00517692" w:rsidP="00517692">
      <w:pPr>
        <w:pStyle w:val="BodyTextFirstIndent"/>
        <w:ind w:firstLine="0"/>
        <w:rPr>
          <w:rFonts w:cstheme="minorHAnsi"/>
          <w:b/>
        </w:rPr>
      </w:pPr>
      <w:r w:rsidRPr="00945C50">
        <w:rPr>
          <w:rFonts w:cstheme="minorHAnsi"/>
        </w:rPr>
        <w:t xml:space="preserve">The independent review committee report to </w:t>
      </w:r>
      <w:proofErr w:type="spellStart"/>
      <w:r w:rsidRPr="00945C50">
        <w:rPr>
          <w:rFonts w:cstheme="minorHAnsi"/>
        </w:rPr>
        <w:t>Barrantagh</w:t>
      </w:r>
      <w:proofErr w:type="spellEnd"/>
      <w:r w:rsidRPr="00945C50">
        <w:rPr>
          <w:rFonts w:cstheme="minorHAnsi"/>
        </w:rPr>
        <w:t xml:space="preserve"> and Unitholders will be available without charge on the Fund’s website at </w:t>
      </w:r>
      <w:r w:rsidRPr="00743286">
        <w:rPr>
          <w:rFonts w:cstheme="minorHAnsi"/>
          <w:u w:val="single"/>
        </w:rPr>
        <w:t>www.Barrantagh.com</w:t>
      </w:r>
      <w:r w:rsidRPr="00945C50">
        <w:rPr>
          <w:rFonts w:cstheme="minorHAnsi"/>
        </w:rPr>
        <w:t xml:space="preserve">, on SEDAR at </w:t>
      </w:r>
      <w:hyperlink r:id="rId21" w:history="1">
        <w:r w:rsidRPr="00945C50">
          <w:rPr>
            <w:rStyle w:val="Hyperlink"/>
            <w:rFonts w:cstheme="minorHAnsi"/>
            <w:color w:val="auto"/>
          </w:rPr>
          <w:t>www.sedar.com</w:t>
        </w:r>
      </w:hyperlink>
      <w:r w:rsidRPr="00945C50">
        <w:rPr>
          <w:rStyle w:val="Hyperlink"/>
          <w:rFonts w:cstheme="minorHAnsi"/>
          <w:color w:val="auto"/>
        </w:rPr>
        <w:t>,</w:t>
      </w:r>
      <w:r w:rsidRPr="00945C50">
        <w:rPr>
          <w:rFonts w:cstheme="minorHAnsi"/>
        </w:rPr>
        <w:t xml:space="preserve"> or upon request to </w:t>
      </w:r>
      <w:proofErr w:type="spellStart"/>
      <w:r w:rsidRPr="00945C50">
        <w:rPr>
          <w:rFonts w:cstheme="minorHAnsi"/>
        </w:rPr>
        <w:t>Barrantagh</w:t>
      </w:r>
      <w:proofErr w:type="spellEnd"/>
      <w:r w:rsidRPr="00945C50">
        <w:rPr>
          <w:rFonts w:cstheme="minorHAnsi"/>
        </w:rPr>
        <w:t xml:space="preserve"> by calling toll-free at</w:t>
      </w:r>
      <w:r w:rsidRPr="00945C50">
        <w:rPr>
          <w:rFonts w:ascii="Arial" w:hAnsi="Arial" w:cs="Arial"/>
        </w:rPr>
        <w:t xml:space="preserve"> 1-833-246-8468. </w:t>
      </w:r>
    </w:p>
    <w:p w14:paraId="61FB4F28" w14:textId="56B8EDCD" w:rsidR="00517692" w:rsidRPr="00945C50" w:rsidRDefault="00517692" w:rsidP="00517692">
      <w:pPr>
        <w:pStyle w:val="BodyTextFirstIndent"/>
        <w:ind w:firstLine="0"/>
        <w:rPr>
          <w:rFonts w:cstheme="minorHAnsi"/>
        </w:rPr>
      </w:pPr>
      <w:r w:rsidRPr="00945C50">
        <w:rPr>
          <w:rFonts w:cstheme="minorHAnsi"/>
        </w:rPr>
        <w:lastRenderedPageBreak/>
        <w:t xml:space="preserve">Compensation for members of the independent review committee in respect of the Fund is </w:t>
      </w:r>
      <w:r w:rsidRPr="00BF3FC4">
        <w:rPr>
          <w:rFonts w:cstheme="minorHAnsi"/>
        </w:rPr>
        <w:t xml:space="preserve">currently $15,000 per annum for the Chairman and </w:t>
      </w:r>
      <w:r w:rsidR="00BF3FC4" w:rsidRPr="00BF3FC4">
        <w:rPr>
          <w:rFonts w:cstheme="minorHAnsi"/>
        </w:rPr>
        <w:t>$</w:t>
      </w:r>
      <w:r w:rsidRPr="00BF3FC4">
        <w:rPr>
          <w:rFonts w:cstheme="minorHAnsi"/>
        </w:rPr>
        <w:t>10,000</w:t>
      </w:r>
      <w:r w:rsidRPr="00945C50">
        <w:rPr>
          <w:rFonts w:cstheme="minorHAnsi"/>
        </w:rPr>
        <w:t xml:space="preserve"> per annum for each other member and is payable by the Fund.</w:t>
      </w:r>
    </w:p>
    <w:p w14:paraId="01189A5C" w14:textId="77777777" w:rsidR="00517692" w:rsidRPr="00945C50" w:rsidRDefault="00517692" w:rsidP="00517692">
      <w:pPr>
        <w:pStyle w:val="BodyText"/>
        <w:rPr>
          <w:rFonts w:ascii="Arial" w:hAnsi="Arial" w:cs="Arial"/>
          <w:b/>
        </w:rPr>
      </w:pPr>
      <w:r w:rsidRPr="00945C50">
        <w:rPr>
          <w:rFonts w:ascii="Arial" w:hAnsi="Arial" w:cs="Arial"/>
          <w:b/>
        </w:rPr>
        <w:t xml:space="preserve">Securities Lending </w:t>
      </w:r>
    </w:p>
    <w:p w14:paraId="27E67352" w14:textId="12265F9E" w:rsidR="00517692" w:rsidRPr="00064CAA" w:rsidRDefault="00517692" w:rsidP="00517692">
      <w:pPr>
        <w:pStyle w:val="BodyText"/>
        <w:rPr>
          <w:rFonts w:ascii="Arial" w:hAnsi="Arial" w:cs="Arial"/>
          <w:b/>
        </w:rPr>
      </w:pPr>
      <w:r w:rsidRPr="00945C50">
        <w:rPr>
          <w:rFonts w:ascii="Arial" w:hAnsi="Arial" w:cs="Arial"/>
        </w:rPr>
        <w:t xml:space="preserve">The Fund may engage in securities lending transactions, as permitted by applicable securities legislation. </w:t>
      </w:r>
      <w:proofErr w:type="gramStart"/>
      <w:r w:rsidRPr="00945C50">
        <w:rPr>
          <w:rFonts w:ascii="Arial" w:hAnsi="Arial" w:cs="Arial"/>
        </w:rPr>
        <w:t>In the event that</w:t>
      </w:r>
      <w:proofErr w:type="gramEnd"/>
      <w:r w:rsidRPr="00945C50">
        <w:rPr>
          <w:rFonts w:ascii="Arial" w:hAnsi="Arial" w:cs="Arial"/>
        </w:rPr>
        <w:t xml:space="preserve"> the </w:t>
      </w:r>
      <w:r w:rsidRPr="00064CAA">
        <w:rPr>
          <w:rFonts w:ascii="Arial" w:hAnsi="Arial" w:cs="Arial"/>
        </w:rPr>
        <w:t xml:space="preserve">Fund engages in securities lending, </w:t>
      </w:r>
      <w:proofErr w:type="spellStart"/>
      <w:r w:rsidR="004E77D2">
        <w:rPr>
          <w:rFonts w:cstheme="minorHAnsi"/>
        </w:rPr>
        <w:t>Barrantagh</w:t>
      </w:r>
      <w:proofErr w:type="spellEnd"/>
      <w:r w:rsidR="004E77D2">
        <w:rPr>
          <w:rFonts w:cstheme="minorHAnsi"/>
        </w:rPr>
        <w:t xml:space="preserve"> </w:t>
      </w:r>
      <w:r w:rsidRPr="00064CAA">
        <w:rPr>
          <w:rFonts w:ascii="Arial" w:hAnsi="Arial" w:cs="Arial"/>
        </w:rPr>
        <w:t>will appoint a securities lending agent for the Fund pursuant to a securities lending agreement.</w:t>
      </w:r>
    </w:p>
    <w:p w14:paraId="4EE2D799" w14:textId="77777777" w:rsidR="00517692" w:rsidRPr="00064CAA" w:rsidRDefault="00517692" w:rsidP="00517692">
      <w:pPr>
        <w:pStyle w:val="BodyText"/>
        <w:rPr>
          <w:rFonts w:ascii="Arial" w:hAnsi="Arial" w:cs="Arial"/>
          <w:b/>
        </w:rPr>
      </w:pPr>
      <w:r w:rsidRPr="00064CAA">
        <w:rPr>
          <w:rFonts w:ascii="Arial" w:hAnsi="Arial" w:cs="Arial"/>
          <w:b/>
        </w:rPr>
        <w:t>Derivatives, Short Selling and Fund of Fund Transactions</w:t>
      </w:r>
    </w:p>
    <w:p w14:paraId="6F75E082" w14:textId="77777777" w:rsidR="00517692" w:rsidRPr="00064CAA" w:rsidRDefault="00517692" w:rsidP="00517692">
      <w:pPr>
        <w:pStyle w:val="BodyText"/>
        <w:rPr>
          <w:rFonts w:ascii="Arial" w:hAnsi="Arial" w:cs="Arial"/>
        </w:rPr>
      </w:pPr>
      <w:r w:rsidRPr="00064CAA">
        <w:rPr>
          <w:rFonts w:ascii="Arial" w:hAnsi="Arial" w:cs="Arial"/>
        </w:rPr>
        <w:t>The Fund does not intend to use derivatives or engage in short selling.  The Fund will not purchase or hold securities of other mutual funds.</w:t>
      </w:r>
    </w:p>
    <w:p w14:paraId="1832CE2B" w14:textId="77777777" w:rsidR="00517692" w:rsidRPr="00064CAA" w:rsidRDefault="00517692" w:rsidP="00517692">
      <w:pPr>
        <w:pStyle w:val="BodyText"/>
        <w:rPr>
          <w:rFonts w:ascii="Arial" w:hAnsi="Arial" w:cs="Arial"/>
          <w:b/>
        </w:rPr>
      </w:pPr>
      <w:r w:rsidRPr="00064CAA">
        <w:rPr>
          <w:rFonts w:ascii="Arial" w:hAnsi="Arial" w:cs="Arial"/>
          <w:b/>
        </w:rPr>
        <w:t>Proxy Voting Provisions</w:t>
      </w:r>
    </w:p>
    <w:p w14:paraId="701C13AC" w14:textId="77777777" w:rsidR="00517692" w:rsidRPr="00064CAA" w:rsidRDefault="00517692" w:rsidP="00517692">
      <w:pPr>
        <w:pStyle w:val="BodyText"/>
        <w:rPr>
          <w:rFonts w:ascii="Arial" w:hAnsi="Arial" w:cs="Arial"/>
        </w:rPr>
      </w:pPr>
      <w:proofErr w:type="spellStart"/>
      <w:r w:rsidRPr="00064CAA">
        <w:rPr>
          <w:rFonts w:ascii="Arial" w:hAnsi="Arial" w:cs="Arial"/>
        </w:rPr>
        <w:t>Barrantagh</w:t>
      </w:r>
      <w:proofErr w:type="spellEnd"/>
      <w:r w:rsidRPr="00064CAA">
        <w:rPr>
          <w:rFonts w:ascii="Arial" w:hAnsi="Arial" w:cs="Arial"/>
        </w:rPr>
        <w:t xml:space="preserve"> has established policies and procedures with respect to the voting of proxies (the “</w:t>
      </w:r>
      <w:r w:rsidRPr="00064CAA">
        <w:rPr>
          <w:rFonts w:ascii="Arial" w:hAnsi="Arial" w:cs="Arial"/>
          <w:b/>
        </w:rPr>
        <w:t>Proxy Voting Guidelines</w:t>
      </w:r>
      <w:r w:rsidRPr="00064CAA">
        <w:rPr>
          <w:rFonts w:ascii="Arial" w:hAnsi="Arial" w:cs="Arial"/>
        </w:rPr>
        <w:t xml:space="preserve">”) received from issuers of securities held in the Fund’s portfolio. The Proxy Voting Guidelines provide that </w:t>
      </w:r>
      <w:proofErr w:type="spellStart"/>
      <w:r w:rsidRPr="00064CAA">
        <w:rPr>
          <w:rFonts w:ascii="Arial" w:hAnsi="Arial" w:cs="Arial"/>
        </w:rPr>
        <w:t>Barrantagh</w:t>
      </w:r>
      <w:proofErr w:type="spellEnd"/>
      <w:r w:rsidRPr="00064CAA">
        <w:rPr>
          <w:rFonts w:ascii="Arial" w:hAnsi="Arial" w:cs="Arial"/>
        </w:rPr>
        <w:t xml:space="preserve"> will vote (or refrain from voting) proxies for each Fund for which it has voting power in the best economic interests of the Fund.  The Proxy Voting Guidelines are not exhaustive and due to the variety of proxy voting issues that </w:t>
      </w:r>
      <w:proofErr w:type="spellStart"/>
      <w:r w:rsidRPr="00064CAA">
        <w:rPr>
          <w:rFonts w:ascii="Arial" w:hAnsi="Arial" w:cs="Arial"/>
        </w:rPr>
        <w:t>Barrantagh</w:t>
      </w:r>
      <w:proofErr w:type="spellEnd"/>
      <w:r w:rsidRPr="00064CAA">
        <w:rPr>
          <w:rFonts w:ascii="Arial" w:hAnsi="Arial" w:cs="Arial"/>
        </w:rPr>
        <w:t xml:space="preserve"> may be required to consider, are intended only to provide </w:t>
      </w:r>
      <w:proofErr w:type="gramStart"/>
      <w:r w:rsidRPr="00064CAA">
        <w:rPr>
          <w:rFonts w:ascii="Arial" w:hAnsi="Arial" w:cs="Arial"/>
        </w:rPr>
        <w:t>guidance</w:t>
      </w:r>
      <w:proofErr w:type="gramEnd"/>
      <w:r w:rsidRPr="00064CAA">
        <w:rPr>
          <w:rFonts w:ascii="Arial" w:hAnsi="Arial" w:cs="Arial"/>
        </w:rPr>
        <w:t xml:space="preserve"> and are not intended to dictate how proxies are to be voted in each instance.  </w:t>
      </w:r>
      <w:proofErr w:type="spellStart"/>
      <w:r w:rsidRPr="00064CAA">
        <w:rPr>
          <w:rFonts w:ascii="Arial" w:hAnsi="Arial" w:cs="Arial"/>
        </w:rPr>
        <w:t>Barrantagh</w:t>
      </w:r>
      <w:proofErr w:type="spellEnd"/>
      <w:r w:rsidRPr="00064CAA">
        <w:rPr>
          <w:rFonts w:ascii="Arial" w:hAnsi="Arial" w:cs="Arial"/>
        </w:rPr>
        <w:t xml:space="preserve"> may depart from the Proxy Voting Guidelines </w:t>
      </w:r>
      <w:proofErr w:type="gramStart"/>
      <w:r w:rsidRPr="00064CAA">
        <w:rPr>
          <w:rFonts w:ascii="Arial" w:hAnsi="Arial" w:cs="Arial"/>
        </w:rPr>
        <w:t>in order to</w:t>
      </w:r>
      <w:proofErr w:type="gramEnd"/>
      <w:r w:rsidRPr="00064CAA">
        <w:rPr>
          <w:rFonts w:ascii="Arial" w:hAnsi="Arial" w:cs="Arial"/>
        </w:rPr>
        <w:t xml:space="preserve"> avoid voting decisions that may be contrary to the best interests of the Fund.</w:t>
      </w:r>
    </w:p>
    <w:p w14:paraId="002B9557" w14:textId="0AD6C902" w:rsidR="00517692" w:rsidRPr="00064CAA" w:rsidRDefault="00517692" w:rsidP="00517692">
      <w:pPr>
        <w:pStyle w:val="BodyText"/>
        <w:rPr>
          <w:rFonts w:ascii="Arial" w:hAnsi="Arial" w:cs="Arial"/>
        </w:rPr>
      </w:pPr>
      <w:r w:rsidRPr="00064CAA">
        <w:rPr>
          <w:rFonts w:ascii="Arial" w:hAnsi="Arial" w:cs="Arial"/>
        </w:rPr>
        <w:t xml:space="preserve">The proxies associated with securities held by the Fund will be voted in accordance with the best interests of </w:t>
      </w:r>
      <w:r w:rsidR="00D36CEB" w:rsidRPr="008B7600">
        <w:rPr>
          <w:rFonts w:cstheme="minorHAnsi"/>
          <w:lang w:val="en-US"/>
        </w:rPr>
        <w:t xml:space="preserve">Unitholders </w:t>
      </w:r>
      <w:r w:rsidRPr="00064CAA">
        <w:rPr>
          <w:rFonts w:ascii="Arial" w:hAnsi="Arial" w:cs="Arial"/>
        </w:rPr>
        <w:t xml:space="preserve">of the Fund determined at the time the vote is cast.  </w:t>
      </w:r>
      <w:proofErr w:type="spellStart"/>
      <w:r w:rsidRPr="00064CAA">
        <w:rPr>
          <w:rFonts w:ascii="Arial" w:hAnsi="Arial" w:cs="Arial"/>
        </w:rPr>
        <w:t>Barrantagh</w:t>
      </w:r>
      <w:proofErr w:type="spellEnd"/>
      <w:r w:rsidRPr="00064CAA">
        <w:rPr>
          <w:rFonts w:ascii="Arial" w:hAnsi="Arial" w:cs="Arial"/>
        </w:rPr>
        <w:t xml:space="preserve"> maintains policies and procedures that are designed to be guidelines for the voting of proxies; however, each vote is ultimately cast on a case-by-case basis taking into consideration the relevant facts and circumstances at the time of the vote.</w:t>
      </w:r>
    </w:p>
    <w:p w14:paraId="230CD4CB" w14:textId="77777777" w:rsidR="00517692" w:rsidRPr="00064CAA" w:rsidRDefault="00517692" w:rsidP="00517692">
      <w:pPr>
        <w:pStyle w:val="BodyText"/>
        <w:rPr>
          <w:rFonts w:ascii="Arial" w:hAnsi="Arial" w:cs="Arial"/>
        </w:rPr>
      </w:pPr>
      <w:proofErr w:type="spellStart"/>
      <w:r w:rsidRPr="00064CAA">
        <w:rPr>
          <w:rFonts w:ascii="Arial" w:hAnsi="Arial" w:cs="Arial"/>
        </w:rPr>
        <w:t>Barrantagh’s</w:t>
      </w:r>
      <w:proofErr w:type="spellEnd"/>
      <w:r w:rsidRPr="00064CAA">
        <w:rPr>
          <w:rFonts w:ascii="Arial" w:hAnsi="Arial" w:cs="Arial"/>
        </w:rPr>
        <w:t xml:space="preserve"> proxy voting policies and procedures set out various considerations that </w:t>
      </w:r>
      <w:proofErr w:type="spellStart"/>
      <w:r w:rsidRPr="00064CAA">
        <w:rPr>
          <w:rFonts w:ascii="Arial" w:hAnsi="Arial" w:cs="Arial"/>
        </w:rPr>
        <w:t>Barrantagh</w:t>
      </w:r>
      <w:proofErr w:type="spellEnd"/>
      <w:r w:rsidRPr="00064CAA">
        <w:rPr>
          <w:rFonts w:ascii="Arial" w:hAnsi="Arial" w:cs="Arial"/>
        </w:rPr>
        <w:t xml:space="preserve"> will address when voting, or refraining from voting, proxies, including that:</w:t>
      </w:r>
    </w:p>
    <w:p w14:paraId="3E4C2D57" w14:textId="77777777" w:rsidR="00517692" w:rsidRPr="00064CAA" w:rsidRDefault="00517692" w:rsidP="00517692">
      <w:pPr>
        <w:pStyle w:val="BodyTextIndent"/>
        <w:ind w:left="1440" w:hanging="720"/>
        <w:rPr>
          <w:rFonts w:ascii="Arial" w:hAnsi="Arial" w:cs="Arial"/>
        </w:rPr>
      </w:pPr>
      <w:r w:rsidRPr="00064CAA">
        <w:rPr>
          <w:rFonts w:ascii="Arial" w:hAnsi="Arial" w:cs="Arial"/>
        </w:rPr>
        <w:t>(a)</w:t>
      </w:r>
      <w:r w:rsidRPr="00064CAA">
        <w:rPr>
          <w:rFonts w:ascii="Arial" w:hAnsi="Arial" w:cs="Arial"/>
        </w:rPr>
        <w:tab/>
      </w:r>
      <w:proofErr w:type="spellStart"/>
      <w:r w:rsidRPr="00064CAA">
        <w:rPr>
          <w:rFonts w:ascii="Arial" w:hAnsi="Arial" w:cs="Arial"/>
        </w:rPr>
        <w:t>Barrantagh</w:t>
      </w:r>
      <w:proofErr w:type="spellEnd"/>
      <w:r w:rsidRPr="00064CAA">
        <w:rPr>
          <w:rFonts w:ascii="Arial" w:hAnsi="Arial" w:cs="Arial"/>
        </w:rPr>
        <w:t xml:space="preserve"> will generally vote with management on routine matters such as electing corporate directors, appointing external </w:t>
      </w:r>
      <w:proofErr w:type="gramStart"/>
      <w:r w:rsidRPr="00064CAA">
        <w:rPr>
          <w:rFonts w:ascii="Arial" w:hAnsi="Arial" w:cs="Arial"/>
        </w:rPr>
        <w:t>auditors</w:t>
      </w:r>
      <w:proofErr w:type="gramEnd"/>
      <w:r w:rsidRPr="00064CAA">
        <w:rPr>
          <w:rFonts w:ascii="Arial" w:hAnsi="Arial" w:cs="Arial"/>
        </w:rPr>
        <w:t xml:space="preserve"> and adopting or amending management compensation plans unless it is determined that supporting management’s position would not be in the best interests of the Unitholders;</w:t>
      </w:r>
    </w:p>
    <w:p w14:paraId="0B74304F" w14:textId="77777777" w:rsidR="00517692" w:rsidRPr="00064CAA" w:rsidRDefault="00517692" w:rsidP="00517692">
      <w:pPr>
        <w:pStyle w:val="BodyTextIndent"/>
        <w:ind w:left="1440" w:hanging="720"/>
        <w:rPr>
          <w:rFonts w:ascii="Arial" w:hAnsi="Arial" w:cs="Arial"/>
        </w:rPr>
      </w:pPr>
      <w:r w:rsidRPr="00064CAA">
        <w:rPr>
          <w:rFonts w:ascii="Arial" w:hAnsi="Arial" w:cs="Arial"/>
        </w:rPr>
        <w:t>(b)</w:t>
      </w:r>
      <w:r w:rsidRPr="00064CAA">
        <w:rPr>
          <w:rFonts w:ascii="Arial" w:hAnsi="Arial" w:cs="Arial"/>
        </w:rPr>
        <w:tab/>
      </w:r>
      <w:proofErr w:type="spellStart"/>
      <w:r w:rsidRPr="00064CAA">
        <w:rPr>
          <w:rFonts w:ascii="Arial" w:hAnsi="Arial" w:cs="Arial"/>
        </w:rPr>
        <w:t>Barrantagh</w:t>
      </w:r>
      <w:proofErr w:type="spellEnd"/>
      <w:r w:rsidRPr="00064CAA">
        <w:rPr>
          <w:rFonts w:ascii="Arial" w:hAnsi="Arial" w:cs="Arial"/>
        </w:rPr>
        <w:t xml:space="preserve"> will address on a case-by-case basis, non-routine matters, including those business issues specific to the issuer or those raised by securityholders of the issuer with a focus on the potential impact of the vote on the NAV of the Fund; and</w:t>
      </w:r>
    </w:p>
    <w:p w14:paraId="036E080A" w14:textId="77777777" w:rsidR="00517692" w:rsidRPr="00064CAA" w:rsidRDefault="00517692" w:rsidP="00517692">
      <w:pPr>
        <w:pStyle w:val="BodyTextIndent"/>
        <w:ind w:left="1440" w:hanging="720"/>
        <w:rPr>
          <w:rFonts w:ascii="Arial" w:hAnsi="Arial" w:cs="Arial"/>
        </w:rPr>
      </w:pPr>
      <w:r w:rsidRPr="00064CAA">
        <w:rPr>
          <w:rFonts w:ascii="Arial" w:hAnsi="Arial" w:cs="Arial"/>
        </w:rPr>
        <w:t>(c)</w:t>
      </w:r>
      <w:r w:rsidRPr="00064CAA">
        <w:rPr>
          <w:rFonts w:ascii="Arial" w:hAnsi="Arial" w:cs="Arial"/>
        </w:rPr>
        <w:tab/>
      </w:r>
      <w:proofErr w:type="spellStart"/>
      <w:r w:rsidRPr="00064CAA">
        <w:rPr>
          <w:rFonts w:ascii="Arial" w:hAnsi="Arial" w:cs="Arial"/>
        </w:rPr>
        <w:t>Barrantagh</w:t>
      </w:r>
      <w:proofErr w:type="spellEnd"/>
      <w:r w:rsidRPr="00064CAA">
        <w:rPr>
          <w:rFonts w:ascii="Arial" w:hAnsi="Arial" w:cs="Arial"/>
        </w:rPr>
        <w:t xml:space="preserve"> has the discretion </w:t>
      </w:r>
      <w:proofErr w:type="gramStart"/>
      <w:r w:rsidRPr="00064CAA">
        <w:rPr>
          <w:rFonts w:ascii="Arial" w:hAnsi="Arial" w:cs="Arial"/>
        </w:rPr>
        <w:t>whether or not</w:t>
      </w:r>
      <w:proofErr w:type="gramEnd"/>
      <w:r w:rsidRPr="00064CAA">
        <w:rPr>
          <w:rFonts w:ascii="Arial" w:hAnsi="Arial" w:cs="Arial"/>
        </w:rPr>
        <w:t xml:space="preserve"> to vote on routine or non-routine matters. In cases where </w:t>
      </w:r>
      <w:proofErr w:type="spellStart"/>
      <w:r w:rsidRPr="00064CAA">
        <w:rPr>
          <w:rFonts w:ascii="Arial" w:hAnsi="Arial" w:cs="Arial"/>
        </w:rPr>
        <w:t>Barrantagh</w:t>
      </w:r>
      <w:proofErr w:type="spellEnd"/>
      <w:r w:rsidRPr="00064CAA">
        <w:rPr>
          <w:rFonts w:ascii="Arial" w:hAnsi="Arial" w:cs="Arial"/>
        </w:rPr>
        <w:t xml:space="preserve"> determines that it is not in the best interests of the Unitholders to vote, or in cases where no value is added by voting, </w:t>
      </w:r>
      <w:proofErr w:type="spellStart"/>
      <w:r w:rsidRPr="00064CAA">
        <w:rPr>
          <w:rFonts w:ascii="Arial" w:hAnsi="Arial" w:cs="Arial"/>
        </w:rPr>
        <w:t>Barrantagh</w:t>
      </w:r>
      <w:proofErr w:type="spellEnd"/>
      <w:r w:rsidRPr="00064CAA">
        <w:rPr>
          <w:rFonts w:ascii="Arial" w:hAnsi="Arial" w:cs="Arial"/>
        </w:rPr>
        <w:t xml:space="preserve"> will not be required to vote.</w:t>
      </w:r>
    </w:p>
    <w:p w14:paraId="2F372A18" w14:textId="3E30913C" w:rsidR="00517692" w:rsidRPr="00064CAA" w:rsidRDefault="00517692" w:rsidP="00517692">
      <w:pPr>
        <w:pStyle w:val="BodyText"/>
        <w:rPr>
          <w:rFonts w:ascii="Arial" w:hAnsi="Arial" w:cs="Arial"/>
        </w:rPr>
      </w:pPr>
      <w:proofErr w:type="spellStart"/>
      <w:r w:rsidRPr="00064CAA">
        <w:rPr>
          <w:rFonts w:ascii="Arial" w:hAnsi="Arial" w:cs="Arial"/>
        </w:rPr>
        <w:lastRenderedPageBreak/>
        <w:t>Barrantagh</w:t>
      </w:r>
      <w:proofErr w:type="spellEnd"/>
      <w:r w:rsidRPr="00064CAA">
        <w:rPr>
          <w:rFonts w:ascii="Arial" w:hAnsi="Arial" w:cs="Arial"/>
        </w:rPr>
        <w:t xml:space="preserve"> has procedures in place to identify potential conflicts of interest. When </w:t>
      </w:r>
      <w:proofErr w:type="spellStart"/>
      <w:r w:rsidRPr="00064CAA">
        <w:rPr>
          <w:rFonts w:ascii="Arial" w:hAnsi="Arial" w:cs="Arial"/>
        </w:rPr>
        <w:t>Barrantagh</w:t>
      </w:r>
      <w:proofErr w:type="spellEnd"/>
      <w:r w:rsidRPr="00064CAA">
        <w:rPr>
          <w:rFonts w:ascii="Arial" w:hAnsi="Arial" w:cs="Arial"/>
        </w:rPr>
        <w:t xml:space="preserve"> becomes aware of any vote that presents a conflict, </w:t>
      </w:r>
      <w:proofErr w:type="spellStart"/>
      <w:r w:rsidRPr="00064CAA">
        <w:rPr>
          <w:rFonts w:ascii="Arial" w:hAnsi="Arial" w:cs="Arial"/>
        </w:rPr>
        <w:t>Barrantagh</w:t>
      </w:r>
      <w:proofErr w:type="spellEnd"/>
      <w:r w:rsidRPr="00064CAA">
        <w:rPr>
          <w:rFonts w:ascii="Arial" w:hAnsi="Arial" w:cs="Arial"/>
        </w:rPr>
        <w:t xml:space="preserve"> must vote such proxy question in a manner consistent with, and uninfluenced by considerations other than, the best interest of the Fund and its </w:t>
      </w:r>
      <w:r w:rsidR="00D36CEB" w:rsidRPr="008B7600">
        <w:rPr>
          <w:rFonts w:cstheme="minorHAnsi"/>
          <w:lang w:val="en-US"/>
        </w:rPr>
        <w:t>Unitholders</w:t>
      </w:r>
      <w:r w:rsidRPr="00064CAA">
        <w:rPr>
          <w:rFonts w:ascii="Arial" w:hAnsi="Arial" w:cs="Arial"/>
        </w:rPr>
        <w:t>.</w:t>
      </w:r>
    </w:p>
    <w:p w14:paraId="7256B8FA" w14:textId="77777777" w:rsidR="00517692" w:rsidRPr="00064CAA" w:rsidRDefault="00517692" w:rsidP="00517692">
      <w:pPr>
        <w:pStyle w:val="BodyText"/>
        <w:rPr>
          <w:rFonts w:ascii="Arial" w:hAnsi="Arial" w:cs="Arial"/>
        </w:rPr>
      </w:pPr>
      <w:proofErr w:type="spellStart"/>
      <w:r w:rsidRPr="00064CAA">
        <w:rPr>
          <w:rFonts w:ascii="Arial" w:hAnsi="Arial" w:cs="Arial"/>
        </w:rPr>
        <w:t>Barrantagh</w:t>
      </w:r>
      <w:proofErr w:type="spellEnd"/>
      <w:r w:rsidRPr="00064CAA">
        <w:rPr>
          <w:rFonts w:ascii="Arial" w:hAnsi="Arial" w:cs="Arial"/>
        </w:rPr>
        <w:t xml:space="preserve"> will post the proxy voting record on </w:t>
      </w:r>
      <w:r w:rsidRPr="00743286">
        <w:rPr>
          <w:rFonts w:ascii="Arial" w:hAnsi="Arial" w:cs="Arial"/>
          <w:u w:val="single"/>
        </w:rPr>
        <w:t>www.Barrantagh.com</w:t>
      </w:r>
      <w:r w:rsidRPr="00064CAA">
        <w:rPr>
          <w:rFonts w:ascii="Arial" w:hAnsi="Arial" w:cs="Arial"/>
        </w:rPr>
        <w:t xml:space="preserve"> no later than August 31 of each year. </w:t>
      </w:r>
      <w:proofErr w:type="spellStart"/>
      <w:r w:rsidRPr="00064CAA">
        <w:rPr>
          <w:rFonts w:ascii="Arial" w:hAnsi="Arial" w:cs="Arial"/>
        </w:rPr>
        <w:t>Barrantagh</w:t>
      </w:r>
      <w:proofErr w:type="spellEnd"/>
      <w:r w:rsidRPr="00064CAA">
        <w:rPr>
          <w:rFonts w:ascii="Arial" w:hAnsi="Arial" w:cs="Arial"/>
        </w:rPr>
        <w:t xml:space="preserve"> will send the most recent copy of the proxy voting policies and procedures and proxy voting record, without charge, to any Unitholder upon a request made by the Unitholders.</w:t>
      </w:r>
    </w:p>
    <w:p w14:paraId="04033BFF" w14:textId="77777777" w:rsidR="00517692" w:rsidRPr="00064CAA" w:rsidRDefault="00517692" w:rsidP="00517692">
      <w:pPr>
        <w:pStyle w:val="BodyText"/>
        <w:rPr>
          <w:rFonts w:ascii="Arial" w:hAnsi="Arial" w:cs="Arial"/>
          <w:b/>
        </w:rPr>
      </w:pPr>
      <w:r w:rsidRPr="00064CAA">
        <w:rPr>
          <w:rFonts w:ascii="Arial" w:hAnsi="Arial" w:cs="Arial"/>
          <w:b/>
        </w:rPr>
        <w:t>Short Term Trading</w:t>
      </w:r>
    </w:p>
    <w:p w14:paraId="5766E8AB" w14:textId="70400335" w:rsidR="003C3184" w:rsidRPr="00064CAA" w:rsidRDefault="00517692" w:rsidP="00517692">
      <w:pPr>
        <w:pStyle w:val="BodyText"/>
        <w:rPr>
          <w:rFonts w:ascii="Arial" w:hAnsi="Arial" w:cs="Arial"/>
        </w:rPr>
      </w:pPr>
      <w:r w:rsidRPr="00064CAA">
        <w:rPr>
          <w:rFonts w:ascii="Arial" w:hAnsi="Arial" w:cs="Arial"/>
        </w:rPr>
        <w:t>The Fund has made no arrangements with any person to permit the short-term trading of Units.  A short term trading fee is charged if Units are redeemed within 60 days of purchase.  See “</w:t>
      </w:r>
      <w:r w:rsidRPr="00064CAA">
        <w:rPr>
          <w:rFonts w:ascii="Arial" w:hAnsi="Arial" w:cs="Arial"/>
          <w:i/>
        </w:rPr>
        <w:t>Fees and Expenses</w:t>
      </w:r>
      <w:r w:rsidRPr="00064CAA">
        <w:rPr>
          <w:rFonts w:ascii="Arial" w:hAnsi="Arial" w:cs="Arial"/>
        </w:rPr>
        <w:t>”.</w:t>
      </w:r>
    </w:p>
    <w:p w14:paraId="13D1A005" w14:textId="77777777" w:rsidR="003C3184" w:rsidRPr="00DC6EE8" w:rsidRDefault="003C3184" w:rsidP="003C3184">
      <w:pPr>
        <w:pStyle w:val="Heading1"/>
        <w:rPr>
          <w:rFonts w:asciiTheme="minorHAnsi" w:hAnsiTheme="minorHAnsi" w:cstheme="minorHAnsi"/>
        </w:rPr>
      </w:pPr>
      <w:bookmarkStart w:id="12" w:name="_Toc5968900"/>
      <w:bookmarkStart w:id="13" w:name="_Toc133828631"/>
      <w:r w:rsidRPr="00DC6EE8">
        <w:rPr>
          <w:rFonts w:asciiTheme="minorHAnsi" w:hAnsiTheme="minorHAnsi" w:cstheme="minorHAnsi"/>
        </w:rPr>
        <w:t xml:space="preserve">Remuneration of Directors, </w:t>
      </w:r>
      <w:proofErr w:type="gramStart"/>
      <w:r w:rsidRPr="00DC6EE8">
        <w:rPr>
          <w:rFonts w:asciiTheme="minorHAnsi" w:hAnsiTheme="minorHAnsi" w:cstheme="minorHAnsi"/>
        </w:rPr>
        <w:t>Officers</w:t>
      </w:r>
      <w:proofErr w:type="gramEnd"/>
      <w:r w:rsidRPr="00DC6EE8">
        <w:rPr>
          <w:rFonts w:asciiTheme="minorHAnsi" w:hAnsiTheme="minorHAnsi" w:cstheme="minorHAnsi"/>
        </w:rPr>
        <w:t xml:space="preserve"> and Trustees</w:t>
      </w:r>
      <w:bookmarkEnd w:id="12"/>
      <w:bookmarkEnd w:id="13"/>
    </w:p>
    <w:p w14:paraId="6BF4977C" w14:textId="484185A4" w:rsidR="003C3184" w:rsidRPr="006A3973" w:rsidRDefault="003C3184" w:rsidP="003C3184">
      <w:pPr>
        <w:pStyle w:val="BodyText"/>
        <w:rPr>
          <w:rFonts w:ascii="Arial" w:hAnsi="Arial" w:cs="Arial"/>
        </w:rPr>
      </w:pPr>
      <w:r w:rsidRPr="00DC6EE8">
        <w:rPr>
          <w:rFonts w:ascii="Arial" w:hAnsi="Arial" w:cs="Arial"/>
        </w:rPr>
        <w:t xml:space="preserve">The Fund, as a trust, has no directors or officers.  </w:t>
      </w:r>
      <w:proofErr w:type="spellStart"/>
      <w:r w:rsidRPr="00DC6EE8">
        <w:rPr>
          <w:rFonts w:ascii="Arial" w:hAnsi="Arial" w:cs="Arial"/>
        </w:rPr>
        <w:t>Barrantagh</w:t>
      </w:r>
      <w:proofErr w:type="spellEnd"/>
      <w:r w:rsidRPr="00DC6EE8">
        <w:rPr>
          <w:rFonts w:ascii="Arial" w:hAnsi="Arial" w:cs="Arial"/>
        </w:rPr>
        <w:t xml:space="preserve"> is entitled to the management fees disclosed </w:t>
      </w:r>
      <w:r w:rsidR="00652062" w:rsidRPr="00DC6EE8">
        <w:rPr>
          <w:rFonts w:ascii="Arial" w:hAnsi="Arial" w:cs="Arial"/>
        </w:rPr>
        <w:t>herein</w:t>
      </w:r>
      <w:r w:rsidRPr="00DC6EE8">
        <w:rPr>
          <w:rFonts w:ascii="Arial" w:hAnsi="Arial" w:cs="Arial"/>
        </w:rPr>
        <w:t xml:space="preserve">.  None of </w:t>
      </w:r>
      <w:proofErr w:type="spellStart"/>
      <w:r w:rsidRPr="00DC6EE8">
        <w:rPr>
          <w:rFonts w:ascii="Arial" w:hAnsi="Arial" w:cs="Arial"/>
        </w:rPr>
        <w:t>Barrantagh’s</w:t>
      </w:r>
      <w:proofErr w:type="spellEnd"/>
      <w:r w:rsidRPr="00DC6EE8">
        <w:rPr>
          <w:rFonts w:ascii="Arial" w:hAnsi="Arial" w:cs="Arial"/>
        </w:rPr>
        <w:t xml:space="preserve"> directors or officers receive any compensation directly from the Fund.  </w:t>
      </w:r>
    </w:p>
    <w:p w14:paraId="21646EAE" w14:textId="77777777" w:rsidR="003C3184" w:rsidRPr="006A3973" w:rsidRDefault="003C3184" w:rsidP="003C3184">
      <w:pPr>
        <w:pStyle w:val="Heading1"/>
        <w:rPr>
          <w:rFonts w:asciiTheme="minorHAnsi" w:hAnsiTheme="minorHAnsi" w:cstheme="minorHAnsi"/>
        </w:rPr>
      </w:pPr>
      <w:bookmarkStart w:id="14" w:name="_Toc5968901"/>
      <w:bookmarkStart w:id="15" w:name="_Toc133828632"/>
      <w:r w:rsidRPr="006A3973">
        <w:rPr>
          <w:rFonts w:asciiTheme="minorHAnsi" w:hAnsiTheme="minorHAnsi" w:cstheme="minorHAnsi"/>
        </w:rPr>
        <w:t>Material Contracts</w:t>
      </w:r>
      <w:bookmarkEnd w:id="14"/>
      <w:bookmarkEnd w:id="15"/>
    </w:p>
    <w:p w14:paraId="24F6BBCA" w14:textId="77777777" w:rsidR="003C3184" w:rsidRPr="006A3973" w:rsidRDefault="003C3184" w:rsidP="003C3184">
      <w:pPr>
        <w:pStyle w:val="BodyText"/>
        <w:rPr>
          <w:rFonts w:ascii="Arial" w:hAnsi="Arial" w:cs="Arial"/>
        </w:rPr>
      </w:pPr>
      <w:r w:rsidRPr="006A3973">
        <w:rPr>
          <w:rFonts w:ascii="Arial" w:hAnsi="Arial" w:cs="Arial"/>
        </w:rPr>
        <w:t>The following contracts can reasonably be regarded as material to purchasers of Units of the Fund:</w:t>
      </w:r>
    </w:p>
    <w:p w14:paraId="288EFF2A" w14:textId="77777777" w:rsidR="003C3184" w:rsidRPr="006A3973" w:rsidRDefault="003C3184" w:rsidP="003C3184">
      <w:pPr>
        <w:pStyle w:val="BodyTextIndent"/>
        <w:numPr>
          <w:ilvl w:val="0"/>
          <w:numId w:val="24"/>
        </w:numPr>
        <w:spacing w:after="200"/>
        <w:ind w:left="1440" w:hanging="720"/>
        <w:rPr>
          <w:rFonts w:ascii="Arial" w:hAnsi="Arial" w:cs="Arial"/>
        </w:rPr>
      </w:pPr>
      <w:r w:rsidRPr="006A3973">
        <w:rPr>
          <w:rFonts w:ascii="Arial" w:hAnsi="Arial" w:cs="Arial"/>
        </w:rPr>
        <w:t>the Declaration referred to under “</w:t>
      </w:r>
      <w:r w:rsidRPr="006A3973">
        <w:rPr>
          <w:rFonts w:ascii="Arial" w:hAnsi="Arial" w:cs="Arial"/>
          <w:i/>
        </w:rPr>
        <w:t>Name, Formation and History of the Fund</w:t>
      </w:r>
      <w:r w:rsidRPr="006A3973">
        <w:rPr>
          <w:rFonts w:ascii="Arial" w:hAnsi="Arial" w:cs="Arial"/>
        </w:rPr>
        <w:t>”; and</w:t>
      </w:r>
    </w:p>
    <w:p w14:paraId="10DFAC60" w14:textId="2C169967" w:rsidR="003C3184" w:rsidRPr="006A3973" w:rsidRDefault="003C3184" w:rsidP="003C3184">
      <w:pPr>
        <w:pStyle w:val="BodyTextIndent"/>
        <w:numPr>
          <w:ilvl w:val="0"/>
          <w:numId w:val="24"/>
        </w:numPr>
        <w:spacing w:after="200"/>
        <w:ind w:left="1440" w:hanging="720"/>
        <w:rPr>
          <w:rFonts w:ascii="Arial" w:hAnsi="Arial" w:cs="Arial"/>
        </w:rPr>
      </w:pPr>
      <w:r w:rsidRPr="006A3973">
        <w:rPr>
          <w:rFonts w:ascii="Arial" w:hAnsi="Arial" w:cs="Arial"/>
        </w:rPr>
        <w:t>the Custodian Agreement referred to under “</w:t>
      </w:r>
      <w:r w:rsidR="001F27E8">
        <w:rPr>
          <w:rFonts w:ascii="Arial" w:hAnsi="Arial" w:cs="Arial"/>
          <w:i/>
        </w:rPr>
        <w:t xml:space="preserve">Responsibility for Fund Operations </w:t>
      </w:r>
      <w:r w:rsidRPr="006A3973">
        <w:rPr>
          <w:rFonts w:ascii="Arial" w:hAnsi="Arial" w:cs="Arial"/>
          <w:i/>
        </w:rPr>
        <w:t xml:space="preserve">– The </w:t>
      </w:r>
      <w:r w:rsidRPr="002A2960">
        <w:rPr>
          <w:rFonts w:ascii="Arial" w:hAnsi="Arial" w:cs="Arial"/>
          <w:i/>
          <w:iCs/>
        </w:rPr>
        <w:t>Custodian</w:t>
      </w:r>
      <w:r w:rsidRPr="006A3973">
        <w:rPr>
          <w:rFonts w:ascii="Arial" w:hAnsi="Arial" w:cs="Arial"/>
        </w:rPr>
        <w:t>”.</w:t>
      </w:r>
    </w:p>
    <w:p w14:paraId="7D3B1E9C" w14:textId="33DCAAA6" w:rsidR="00517692" w:rsidRPr="006A3973" w:rsidRDefault="003C3184" w:rsidP="00D5533B">
      <w:pPr>
        <w:pStyle w:val="BodyText"/>
        <w:rPr>
          <w:rFonts w:ascii="Arial" w:hAnsi="Arial" w:cs="Arial"/>
        </w:rPr>
      </w:pPr>
      <w:r w:rsidRPr="006A3973">
        <w:rPr>
          <w:rFonts w:ascii="Arial" w:hAnsi="Arial" w:cs="Arial"/>
        </w:rPr>
        <w:t xml:space="preserve">Copies of the foregoing agreements may be examined during normal business hours at the principal office of </w:t>
      </w:r>
      <w:proofErr w:type="spellStart"/>
      <w:r w:rsidRPr="006A3973">
        <w:rPr>
          <w:rFonts w:ascii="Arial" w:hAnsi="Arial" w:cs="Arial"/>
        </w:rPr>
        <w:t>Barrantagh</w:t>
      </w:r>
      <w:proofErr w:type="spellEnd"/>
      <w:r w:rsidRPr="006A3973">
        <w:rPr>
          <w:rFonts w:ascii="Arial" w:hAnsi="Arial" w:cs="Arial"/>
        </w:rPr>
        <w:t xml:space="preserve">, and are available on SEDAR at </w:t>
      </w:r>
      <w:hyperlink r:id="rId22" w:history="1">
        <w:r w:rsidRPr="006A3973">
          <w:rPr>
            <w:rStyle w:val="Hyperlink"/>
            <w:rFonts w:ascii="Arial" w:hAnsi="Arial" w:cs="Arial"/>
            <w:color w:val="auto"/>
          </w:rPr>
          <w:t>www.sedar.com</w:t>
        </w:r>
      </w:hyperlink>
    </w:p>
    <w:p w14:paraId="1CDC0CB3" w14:textId="28A13EDB" w:rsidR="00517692" w:rsidRPr="005644C2" w:rsidRDefault="003C3184" w:rsidP="00D905EE">
      <w:pPr>
        <w:pStyle w:val="Heading1"/>
        <w:rPr>
          <w:rFonts w:asciiTheme="minorHAnsi" w:hAnsiTheme="minorHAnsi" w:cstheme="minorHAnsi"/>
        </w:rPr>
      </w:pPr>
      <w:bookmarkStart w:id="16" w:name="_Toc133828633"/>
      <w:r w:rsidRPr="005644C2">
        <w:rPr>
          <w:rFonts w:asciiTheme="minorHAnsi" w:hAnsiTheme="minorHAnsi" w:cstheme="minorHAnsi"/>
        </w:rPr>
        <w:t>Designated Website</w:t>
      </w:r>
      <w:bookmarkEnd w:id="16"/>
    </w:p>
    <w:p w14:paraId="20D989C7" w14:textId="5D13E49B" w:rsidR="00D05DEF" w:rsidRPr="005644C2" w:rsidRDefault="00D905EE" w:rsidP="00D905EE">
      <w:pPr>
        <w:pStyle w:val="BodyText"/>
      </w:pPr>
      <w:r w:rsidRPr="005644C2">
        <w:t xml:space="preserve">A mutual fund is required to post certain regulatory disclosure documents on a designated website. The designated website of the Fund this document pertains to can be found at the following location: </w:t>
      </w:r>
      <w:r w:rsidRPr="00743286">
        <w:rPr>
          <w:u w:val="single"/>
        </w:rPr>
        <w:t>www.</w:t>
      </w:r>
      <w:r w:rsidR="00743286">
        <w:rPr>
          <w:u w:val="single"/>
        </w:rPr>
        <w:t>B</w:t>
      </w:r>
      <w:r w:rsidRPr="00743286">
        <w:rPr>
          <w:u w:val="single"/>
        </w:rPr>
        <w:t>arrantagh.com</w:t>
      </w:r>
      <w:r w:rsidRPr="005644C2">
        <w:t xml:space="preserve">. These documents and other information about the Fund, such as information circulars and material contracts, are also available at </w:t>
      </w:r>
      <w:r w:rsidR="00D05DEF" w:rsidRPr="00CB7C75">
        <w:rPr>
          <w:u w:val="single"/>
        </w:rPr>
        <w:t>www.sedar.com</w:t>
      </w:r>
      <w:r w:rsidRPr="005644C2">
        <w:t>.</w:t>
      </w:r>
    </w:p>
    <w:p w14:paraId="5BF4A756" w14:textId="77777777" w:rsidR="00D05DEF" w:rsidRPr="00673CA5" w:rsidRDefault="00D05DEF" w:rsidP="00D05DEF">
      <w:pPr>
        <w:pStyle w:val="Heading1"/>
        <w:rPr>
          <w:rFonts w:asciiTheme="minorHAnsi" w:hAnsiTheme="minorHAnsi" w:cstheme="minorHAnsi"/>
        </w:rPr>
      </w:pPr>
      <w:bookmarkStart w:id="17" w:name="_Toc5968891"/>
      <w:bookmarkStart w:id="18" w:name="_Toc133828634"/>
      <w:r w:rsidRPr="00673CA5">
        <w:rPr>
          <w:rFonts w:asciiTheme="minorHAnsi" w:hAnsiTheme="minorHAnsi" w:cstheme="minorHAnsi"/>
        </w:rPr>
        <w:t>Valuation of Portfolio Securities</w:t>
      </w:r>
      <w:bookmarkEnd w:id="17"/>
      <w:bookmarkEnd w:id="18"/>
    </w:p>
    <w:p w14:paraId="53C47A37" w14:textId="77777777" w:rsidR="00D05DEF" w:rsidRPr="00673CA5" w:rsidRDefault="00D05DEF" w:rsidP="00D05DEF">
      <w:pPr>
        <w:pStyle w:val="BodyTextFirstIndent"/>
        <w:ind w:firstLine="0"/>
        <w:rPr>
          <w:rFonts w:cstheme="minorHAnsi"/>
        </w:rPr>
      </w:pPr>
      <w:r w:rsidRPr="00673CA5">
        <w:rPr>
          <w:rFonts w:cstheme="minorHAnsi"/>
        </w:rPr>
        <w:t xml:space="preserve">In determining the NAV of each series of the Fund, the value of all securities, </w:t>
      </w:r>
      <w:proofErr w:type="gramStart"/>
      <w:r w:rsidRPr="00673CA5">
        <w:rPr>
          <w:rFonts w:cstheme="minorHAnsi"/>
        </w:rPr>
        <w:t>property</w:t>
      </w:r>
      <w:proofErr w:type="gramEnd"/>
      <w:r w:rsidRPr="00673CA5">
        <w:rPr>
          <w:rFonts w:cstheme="minorHAnsi"/>
        </w:rPr>
        <w:t xml:space="preserve"> and assets of the Fund (the “</w:t>
      </w:r>
      <w:r w:rsidRPr="00673CA5">
        <w:rPr>
          <w:rFonts w:cstheme="minorHAnsi"/>
          <w:b/>
        </w:rPr>
        <w:t>Fund Property</w:t>
      </w:r>
      <w:r w:rsidRPr="00673CA5">
        <w:rPr>
          <w:rFonts w:cstheme="minorHAnsi"/>
        </w:rPr>
        <w:t>”) shall be determined in accordance with the requirements of Canadian generally accepted accounting principles and any applicable requirements of law, and the following principles:</w:t>
      </w:r>
    </w:p>
    <w:p w14:paraId="33916001" w14:textId="69BFC941" w:rsidR="00D05DEF" w:rsidRPr="00673CA5" w:rsidRDefault="00D05DEF" w:rsidP="00D05DEF">
      <w:pPr>
        <w:numPr>
          <w:ilvl w:val="0"/>
          <w:numId w:val="27"/>
        </w:numPr>
        <w:suppressAutoHyphens/>
        <w:rPr>
          <w:rFonts w:cstheme="minorHAnsi"/>
        </w:rPr>
      </w:pPr>
      <w:r w:rsidRPr="00673CA5">
        <w:rPr>
          <w:rFonts w:cstheme="minorHAnsi"/>
        </w:rPr>
        <w:t xml:space="preserve">the value of any cash on hand or on deposit or on call, bills and notes, accounts receivable, prepaid expenses, cash dividends declared or interest accrued and not yet received shall be deemed to be the face amount thereof unless </w:t>
      </w:r>
      <w:proofErr w:type="spellStart"/>
      <w:r w:rsidR="00282157">
        <w:rPr>
          <w:rFonts w:cstheme="minorHAnsi"/>
        </w:rPr>
        <w:t>Barrantagh</w:t>
      </w:r>
      <w:proofErr w:type="spellEnd"/>
      <w:r w:rsidR="00282157">
        <w:rPr>
          <w:rFonts w:cstheme="minorHAnsi"/>
        </w:rPr>
        <w:t xml:space="preserve"> </w:t>
      </w:r>
      <w:r w:rsidRPr="00673CA5">
        <w:rPr>
          <w:rFonts w:cstheme="minorHAnsi"/>
        </w:rPr>
        <w:lastRenderedPageBreak/>
        <w:t xml:space="preserve">shall have determined that any such bill, note, account receivable, prepaid expense or interest accrued is not worth the face amount thereof, in which event the value thereof shall be deemed to be such value as </w:t>
      </w:r>
      <w:proofErr w:type="spellStart"/>
      <w:r w:rsidR="00282157">
        <w:rPr>
          <w:rFonts w:cstheme="minorHAnsi"/>
        </w:rPr>
        <w:t>Barrantagh</w:t>
      </w:r>
      <w:proofErr w:type="spellEnd"/>
      <w:r w:rsidR="00282157" w:rsidRPr="002C5257">
        <w:rPr>
          <w:rFonts w:cstheme="minorHAnsi"/>
        </w:rPr>
        <w:t xml:space="preserve"> </w:t>
      </w:r>
      <w:r w:rsidRPr="00673CA5">
        <w:rPr>
          <w:rFonts w:cstheme="minorHAnsi"/>
        </w:rPr>
        <w:t>shall deem to be the reasonable value thereof;</w:t>
      </w:r>
    </w:p>
    <w:p w14:paraId="6B1CDFE6" w14:textId="722DA10D" w:rsidR="00D05DEF" w:rsidRPr="00EF1515" w:rsidRDefault="00D05DEF" w:rsidP="00D05DEF">
      <w:pPr>
        <w:numPr>
          <w:ilvl w:val="0"/>
          <w:numId w:val="27"/>
        </w:numPr>
        <w:suppressAutoHyphens/>
        <w:rPr>
          <w:rFonts w:cstheme="minorHAnsi"/>
        </w:rPr>
      </w:pPr>
      <w:r w:rsidRPr="00673CA5">
        <w:rPr>
          <w:rFonts w:cstheme="minorHAnsi"/>
        </w:rPr>
        <w:t xml:space="preserve">securities listed on a stock exchange shall be valued at their fair market value on the relevant Valuation Date, and the value of any security that is listed or traded on more than one stock </w:t>
      </w:r>
      <w:r w:rsidRPr="00EF1515">
        <w:rPr>
          <w:rFonts w:cstheme="minorHAnsi"/>
        </w:rPr>
        <w:t>exchange or that is actively traded in the over</w:t>
      </w:r>
      <w:r w:rsidRPr="00EF1515">
        <w:rPr>
          <w:rFonts w:cstheme="minorHAnsi"/>
        </w:rPr>
        <w:noBreakHyphen/>
        <w:t>the</w:t>
      </w:r>
      <w:r w:rsidRPr="00EF1515">
        <w:rPr>
          <w:rFonts w:cstheme="minorHAnsi"/>
        </w:rPr>
        <w:noBreakHyphen/>
        <w:t xml:space="preserve">counter markets while being listed or traded on any stock exchange may, if </w:t>
      </w:r>
      <w:proofErr w:type="spellStart"/>
      <w:r w:rsidR="00282157" w:rsidRPr="00EF1515">
        <w:rPr>
          <w:rFonts w:cstheme="minorHAnsi"/>
        </w:rPr>
        <w:t>Barrantagh</w:t>
      </w:r>
      <w:proofErr w:type="spellEnd"/>
      <w:r w:rsidR="00282157" w:rsidRPr="00EF1515">
        <w:rPr>
          <w:rFonts w:cstheme="minorHAnsi"/>
        </w:rPr>
        <w:t xml:space="preserve"> </w:t>
      </w:r>
      <w:r w:rsidRPr="00EF1515">
        <w:rPr>
          <w:rFonts w:cstheme="minorHAnsi"/>
        </w:rPr>
        <w:t xml:space="preserve">so determines, be the market quotation that most accurately reflects the fair market value of the security in question; </w:t>
      </w:r>
    </w:p>
    <w:p w14:paraId="4DC67D14" w14:textId="4455E51D" w:rsidR="00D05DEF" w:rsidRPr="00EF1515" w:rsidRDefault="00D05DEF" w:rsidP="00D05DEF">
      <w:pPr>
        <w:numPr>
          <w:ilvl w:val="0"/>
          <w:numId w:val="27"/>
        </w:numPr>
        <w:suppressAutoHyphens/>
        <w:rPr>
          <w:rFonts w:cstheme="minorHAnsi"/>
        </w:rPr>
      </w:pPr>
      <w:r w:rsidRPr="00EF1515">
        <w:rPr>
          <w:rFonts w:cstheme="minorHAnsi"/>
        </w:rPr>
        <w:t xml:space="preserve">the value of all other Fund Property shall be such value as </w:t>
      </w:r>
      <w:proofErr w:type="spellStart"/>
      <w:r w:rsidR="00282157" w:rsidRPr="00EF1515">
        <w:rPr>
          <w:rFonts w:cstheme="minorHAnsi"/>
        </w:rPr>
        <w:t>Barrantagh</w:t>
      </w:r>
      <w:proofErr w:type="spellEnd"/>
      <w:r w:rsidR="00282157" w:rsidRPr="00EF1515">
        <w:rPr>
          <w:rFonts w:cstheme="minorHAnsi"/>
        </w:rPr>
        <w:t xml:space="preserve"> </w:t>
      </w:r>
      <w:r w:rsidRPr="00EF1515">
        <w:rPr>
          <w:rFonts w:cstheme="minorHAnsi"/>
        </w:rPr>
        <w:t>determines most accurately reflects its fair value; and</w:t>
      </w:r>
    </w:p>
    <w:p w14:paraId="52B9524A" w14:textId="21835695" w:rsidR="00D05DEF" w:rsidRPr="00E574A1" w:rsidRDefault="00D05DEF" w:rsidP="00D05DEF">
      <w:pPr>
        <w:numPr>
          <w:ilvl w:val="0"/>
          <w:numId w:val="27"/>
        </w:numPr>
        <w:suppressAutoHyphens/>
        <w:rPr>
          <w:rFonts w:cstheme="minorHAnsi"/>
        </w:rPr>
      </w:pPr>
      <w:r w:rsidRPr="00EF1515">
        <w:rPr>
          <w:rFonts w:cstheme="minorHAnsi"/>
        </w:rPr>
        <w:t>all assets of the Fund valued in terms of foreign currency, funds on deposit</w:t>
      </w:r>
      <w:r w:rsidR="00CD399B">
        <w:rPr>
          <w:rFonts w:cstheme="minorHAnsi"/>
        </w:rPr>
        <w:t xml:space="preserve"> and </w:t>
      </w:r>
      <w:r w:rsidR="00CD399B" w:rsidRPr="00EF1515">
        <w:rPr>
          <w:rFonts w:cstheme="minorHAnsi"/>
        </w:rPr>
        <w:t xml:space="preserve">contractual obligations payable </w:t>
      </w:r>
      <w:r w:rsidR="006F43C7">
        <w:rPr>
          <w:rFonts w:cstheme="minorHAnsi"/>
        </w:rPr>
        <w:t>to</w:t>
      </w:r>
      <w:r w:rsidR="00CD399B" w:rsidRPr="00EF1515">
        <w:rPr>
          <w:rFonts w:cstheme="minorHAnsi"/>
        </w:rPr>
        <w:t xml:space="preserve"> the Fund in foreign currency</w:t>
      </w:r>
      <w:r w:rsidRPr="00EF1515">
        <w:rPr>
          <w:rFonts w:cstheme="minorHAnsi"/>
        </w:rPr>
        <w:t xml:space="preserve"> and liabilities and contractual obligations payable by the Fund in foreign currency shall be valued at the </w:t>
      </w:r>
      <w:r w:rsidRPr="00E574A1">
        <w:rPr>
          <w:rFonts w:cstheme="minorHAnsi"/>
        </w:rPr>
        <w:t xml:space="preserve">applicable rate of exchange current at, or as nearly as practicable to, the time as of which the Net Asset Value is computed.  </w:t>
      </w:r>
    </w:p>
    <w:p w14:paraId="2A96BB8C" w14:textId="7CE5182D" w:rsidR="00D05DEF" w:rsidRPr="00673CA5" w:rsidRDefault="00D05DEF" w:rsidP="00D05DEF">
      <w:pPr>
        <w:rPr>
          <w:rFonts w:cstheme="minorHAnsi"/>
        </w:rPr>
      </w:pPr>
      <w:r w:rsidRPr="00E574A1">
        <w:rPr>
          <w:rFonts w:cstheme="minorHAnsi"/>
        </w:rPr>
        <w:t xml:space="preserve">Notwithstanding the foregoing, if applicable law requires the adoption by </w:t>
      </w:r>
      <w:proofErr w:type="spellStart"/>
      <w:r w:rsidR="00282157" w:rsidRPr="00E574A1">
        <w:rPr>
          <w:rFonts w:cstheme="minorHAnsi"/>
        </w:rPr>
        <w:t>Barrantagh</w:t>
      </w:r>
      <w:proofErr w:type="spellEnd"/>
      <w:r w:rsidR="00282157" w:rsidRPr="00E574A1">
        <w:rPr>
          <w:rFonts w:cstheme="minorHAnsi"/>
        </w:rPr>
        <w:t xml:space="preserve"> </w:t>
      </w:r>
      <w:r w:rsidRPr="00E574A1">
        <w:rPr>
          <w:rFonts w:cstheme="minorHAnsi"/>
        </w:rPr>
        <w:t xml:space="preserve">of some other method of valuation of the Fund Property or any part of it, such method will be adopted as if it were set forth in the Declaration, with effect as at the date as of which such requirement became applicable to the Fund; and in the event of any real or apparent conflict between the requirements of the law of two or more such jurisdictions, </w:t>
      </w:r>
      <w:proofErr w:type="spellStart"/>
      <w:r w:rsidR="00282157" w:rsidRPr="00E574A1">
        <w:rPr>
          <w:rFonts w:cstheme="minorHAnsi"/>
        </w:rPr>
        <w:t>Barrantagh</w:t>
      </w:r>
      <w:proofErr w:type="spellEnd"/>
      <w:r w:rsidR="00282157" w:rsidRPr="00E574A1">
        <w:rPr>
          <w:rFonts w:cstheme="minorHAnsi"/>
        </w:rPr>
        <w:t xml:space="preserve"> </w:t>
      </w:r>
      <w:r w:rsidRPr="00E574A1">
        <w:rPr>
          <w:rFonts w:cstheme="minorHAnsi"/>
        </w:rPr>
        <w:t>shall determine which requirements shall be adopted.</w:t>
      </w:r>
    </w:p>
    <w:p w14:paraId="73A5BB74" w14:textId="77777777" w:rsidR="00D05DEF" w:rsidRPr="00673CA5" w:rsidRDefault="00D05DEF" w:rsidP="00D05DEF">
      <w:pPr>
        <w:pStyle w:val="BodyTextFirstIndent"/>
        <w:ind w:firstLine="0"/>
        <w:rPr>
          <w:rFonts w:cstheme="minorHAnsi"/>
        </w:rPr>
      </w:pPr>
      <w:r w:rsidRPr="00673CA5">
        <w:rPr>
          <w:rFonts w:cstheme="minorHAnsi"/>
        </w:rPr>
        <w:t xml:space="preserve">In compliance with </w:t>
      </w:r>
      <w:r w:rsidRPr="00673CA5">
        <w:rPr>
          <w:rFonts w:cstheme="minorHAnsi"/>
          <w:lang w:val="en-US"/>
        </w:rPr>
        <w:t>the requirements for all Canadian investment entities, the Fund will prepare its</w:t>
      </w:r>
      <w:r w:rsidRPr="00673CA5">
        <w:rPr>
          <w:rFonts w:cstheme="minorHAnsi"/>
        </w:rPr>
        <w:t xml:space="preserve"> </w:t>
      </w:r>
      <w:r w:rsidRPr="00673CA5">
        <w:rPr>
          <w:rFonts w:cstheme="minorHAnsi"/>
          <w:lang w:val="en-US"/>
        </w:rPr>
        <w:t>financial statements in accordance with IFRS as issued by the</w:t>
      </w:r>
      <w:r w:rsidRPr="00673CA5">
        <w:rPr>
          <w:rFonts w:cstheme="minorHAnsi"/>
        </w:rPr>
        <w:t xml:space="preserve"> </w:t>
      </w:r>
      <w:r w:rsidRPr="00673CA5">
        <w:rPr>
          <w:rFonts w:cstheme="minorHAnsi"/>
          <w:lang w:val="en-US"/>
        </w:rPr>
        <w:t>International Accounting Standards Board.  The framework for fair valuation as set out under the</w:t>
      </w:r>
      <w:r w:rsidRPr="00673CA5">
        <w:rPr>
          <w:rFonts w:cstheme="minorHAnsi"/>
        </w:rPr>
        <w:t xml:space="preserve"> </w:t>
      </w:r>
      <w:r w:rsidRPr="00673CA5">
        <w:rPr>
          <w:rFonts w:cstheme="minorHAnsi"/>
          <w:lang w:val="en-US"/>
        </w:rPr>
        <w:t>relevant sections of IFRS includes the requirement for the measurement and disclosure of fair value.  If an asset or</w:t>
      </w:r>
      <w:r w:rsidRPr="00673CA5">
        <w:rPr>
          <w:rFonts w:cstheme="minorHAnsi"/>
        </w:rPr>
        <w:t xml:space="preserve"> </w:t>
      </w:r>
      <w:r w:rsidRPr="00673CA5">
        <w:rPr>
          <w:rFonts w:cstheme="minorHAnsi"/>
          <w:lang w:val="en-US"/>
        </w:rPr>
        <w:t>liability measured at fair value has a bid price and an ask price, the standard requires valuation to be based on a</w:t>
      </w:r>
      <w:r w:rsidRPr="00673CA5">
        <w:rPr>
          <w:rFonts w:cstheme="minorHAnsi"/>
        </w:rPr>
        <w:t xml:space="preserve"> </w:t>
      </w:r>
      <w:r w:rsidRPr="00673CA5">
        <w:rPr>
          <w:rFonts w:cstheme="minorHAnsi"/>
          <w:lang w:val="en-US"/>
        </w:rPr>
        <w:t>price within the bid-ask spread that is most representative of fair value.  The standard allows the use of midmarket</w:t>
      </w:r>
      <w:r w:rsidRPr="00673CA5">
        <w:rPr>
          <w:rFonts w:cstheme="minorHAnsi"/>
        </w:rPr>
        <w:t xml:space="preserve"> </w:t>
      </w:r>
      <w:r w:rsidRPr="00673CA5">
        <w:rPr>
          <w:rFonts w:cstheme="minorHAnsi"/>
          <w:lang w:val="en-US"/>
        </w:rPr>
        <w:t>pricing or other pricing conventions that are used by market participants as a practical means for fair value</w:t>
      </w:r>
      <w:r w:rsidRPr="00673CA5">
        <w:rPr>
          <w:rFonts w:cstheme="minorHAnsi"/>
        </w:rPr>
        <w:t xml:space="preserve"> </w:t>
      </w:r>
      <w:r w:rsidRPr="00673CA5">
        <w:rPr>
          <w:rFonts w:cstheme="minorHAnsi"/>
          <w:lang w:val="en-US"/>
        </w:rPr>
        <w:t xml:space="preserve">measurements within a bid-ask spread. </w:t>
      </w:r>
    </w:p>
    <w:p w14:paraId="381549ED" w14:textId="77777777" w:rsidR="00D05DEF" w:rsidRPr="00C06322" w:rsidRDefault="00D05DEF" w:rsidP="00D05DEF">
      <w:pPr>
        <w:pStyle w:val="BodyText"/>
        <w:rPr>
          <w:rFonts w:cstheme="minorHAnsi"/>
        </w:rPr>
      </w:pPr>
      <w:r w:rsidRPr="00673CA5">
        <w:rPr>
          <w:rFonts w:cstheme="minorHAnsi"/>
        </w:rPr>
        <w:t xml:space="preserve">Each portfolio transaction will be </w:t>
      </w:r>
      <w:r w:rsidRPr="00C06322">
        <w:rPr>
          <w:rFonts w:cstheme="minorHAnsi"/>
        </w:rPr>
        <w:t>reflected in the calculation of NAV per Unit no later than the calculation of NAV per Unit next made after the date on which the transaction becomes binding.  The issue of Units will be reflected in the calculation of NAV per Unit next made after the issue date for such Units, which may be up to two trading days after the date that the subscription order for such Units is accepted.  The redemption of Units will be reflected in the calculation of NAV per Unit next made after the redemption request is accepted.</w:t>
      </w:r>
    </w:p>
    <w:p w14:paraId="30CBDFD0" w14:textId="77777777" w:rsidR="00D05DEF" w:rsidRPr="00C06322" w:rsidRDefault="00D05DEF" w:rsidP="00D05DEF">
      <w:pPr>
        <w:pStyle w:val="Heading1"/>
        <w:rPr>
          <w:rFonts w:asciiTheme="minorHAnsi" w:hAnsiTheme="minorHAnsi" w:cstheme="minorHAnsi"/>
        </w:rPr>
      </w:pPr>
      <w:bookmarkStart w:id="19" w:name="_Toc5968892"/>
      <w:bookmarkStart w:id="20" w:name="_Toc133828635"/>
      <w:r w:rsidRPr="00C06322">
        <w:rPr>
          <w:rFonts w:asciiTheme="minorHAnsi" w:hAnsiTheme="minorHAnsi" w:cstheme="minorHAnsi"/>
        </w:rPr>
        <w:t>Calculation of Net Asset Value</w:t>
      </w:r>
      <w:bookmarkEnd w:id="19"/>
      <w:bookmarkEnd w:id="20"/>
    </w:p>
    <w:p w14:paraId="185607E1" w14:textId="77777777" w:rsidR="00D05DEF" w:rsidRPr="00C06322" w:rsidRDefault="00D05DEF" w:rsidP="00D05DEF">
      <w:pPr>
        <w:pStyle w:val="BodyText"/>
        <w:keepNext/>
        <w:rPr>
          <w:rFonts w:ascii="Arial" w:hAnsi="Arial" w:cs="Arial"/>
        </w:rPr>
      </w:pPr>
      <w:r w:rsidRPr="00C06322">
        <w:rPr>
          <w:rFonts w:ascii="Arial" w:hAnsi="Arial" w:cs="Arial"/>
        </w:rPr>
        <w:t>All transactions in Units of a series are based on the series NAV per Unit.  We usually calculate the NAV for a series and a NAV per Unit on each Trading Day after the Toronto Stock Exchange closes, but in some circumstances, we may calculate it at another time (each day on which we calculate NAVs is a “</w:t>
      </w:r>
      <w:r w:rsidRPr="00C06322">
        <w:rPr>
          <w:rFonts w:ascii="Arial" w:hAnsi="Arial" w:cs="Arial"/>
          <w:b/>
        </w:rPr>
        <w:t>Valuation Date</w:t>
      </w:r>
      <w:r w:rsidRPr="00C06322">
        <w:rPr>
          <w:rFonts w:ascii="Arial" w:hAnsi="Arial" w:cs="Arial"/>
        </w:rPr>
        <w:t xml:space="preserve">”).  The NAVs can and generally will change daily.  A separate NAV is calculated for each series of Units of the Fund. The issue and redemption price of Units </w:t>
      </w:r>
      <w:r w:rsidRPr="00C06322">
        <w:rPr>
          <w:rFonts w:ascii="Arial" w:hAnsi="Arial" w:cs="Arial"/>
        </w:rPr>
        <w:lastRenderedPageBreak/>
        <w:t xml:space="preserve">is based on the Fund’s NAV next determined after the receipt of a purchase order and a redemption order. </w:t>
      </w:r>
    </w:p>
    <w:p w14:paraId="377909FF" w14:textId="77777777" w:rsidR="00D05DEF" w:rsidRPr="00C06322" w:rsidRDefault="00D05DEF" w:rsidP="00D05DEF">
      <w:pPr>
        <w:pStyle w:val="BodyText"/>
        <w:rPr>
          <w:rFonts w:ascii="Arial" w:hAnsi="Arial" w:cs="Arial"/>
        </w:rPr>
      </w:pPr>
      <w:r w:rsidRPr="00C06322">
        <w:rPr>
          <w:rFonts w:ascii="Arial" w:hAnsi="Arial" w:cs="Arial"/>
        </w:rPr>
        <w:t>The NAV of each series of Units of the Fund is calculated as follows:</w:t>
      </w:r>
    </w:p>
    <w:p w14:paraId="39814B83" w14:textId="77777777" w:rsidR="00D05DEF" w:rsidRPr="00C06322" w:rsidRDefault="00D05DEF" w:rsidP="00D05DEF">
      <w:pPr>
        <w:pStyle w:val="BodyText"/>
        <w:ind w:left="1440" w:hanging="720"/>
        <w:rPr>
          <w:rFonts w:ascii="Arial" w:hAnsi="Arial" w:cs="Arial"/>
        </w:rPr>
      </w:pPr>
      <w:r w:rsidRPr="00C06322">
        <w:rPr>
          <w:rFonts w:ascii="Arial" w:hAnsi="Arial" w:cs="Arial"/>
        </w:rPr>
        <w:t>(a)</w:t>
      </w:r>
      <w:r w:rsidRPr="00C06322">
        <w:rPr>
          <w:rFonts w:ascii="Arial" w:hAnsi="Arial" w:cs="Arial"/>
        </w:rPr>
        <w:tab/>
        <w:t xml:space="preserve">first, we determine the fair value of </w:t>
      </w:r>
      <w:proofErr w:type="gramStart"/>
      <w:r w:rsidRPr="00C06322">
        <w:rPr>
          <w:rFonts w:ascii="Arial" w:hAnsi="Arial" w:cs="Arial"/>
        </w:rPr>
        <w:t>all of</w:t>
      </w:r>
      <w:proofErr w:type="gramEnd"/>
      <w:r w:rsidRPr="00C06322">
        <w:rPr>
          <w:rFonts w:ascii="Arial" w:hAnsi="Arial" w:cs="Arial"/>
        </w:rPr>
        <w:t xml:space="preserve"> the investments and other assets allocated to a series (using the valuation principles discussed under “Valuation of Portfolio Securities” above);</w:t>
      </w:r>
    </w:p>
    <w:p w14:paraId="303AAC32" w14:textId="77777777" w:rsidR="00D05DEF" w:rsidRPr="00C06322" w:rsidRDefault="00D05DEF" w:rsidP="00D05DEF">
      <w:pPr>
        <w:pStyle w:val="BodyText"/>
        <w:ind w:left="1440" w:hanging="720"/>
        <w:rPr>
          <w:rFonts w:ascii="Arial" w:hAnsi="Arial" w:cs="Arial"/>
        </w:rPr>
      </w:pPr>
      <w:r w:rsidRPr="00C06322">
        <w:rPr>
          <w:rFonts w:ascii="Arial" w:hAnsi="Arial" w:cs="Arial"/>
        </w:rPr>
        <w:t>(b)</w:t>
      </w:r>
      <w:r w:rsidRPr="00C06322">
        <w:rPr>
          <w:rFonts w:ascii="Arial" w:hAnsi="Arial" w:cs="Arial"/>
        </w:rPr>
        <w:tab/>
        <w:t>second, we subtract the liabilities allocated to that series from the fair value of the assets attributable to such series.  The difference between the fair value and the liabilities of a series is the NAV for that series; and</w:t>
      </w:r>
    </w:p>
    <w:p w14:paraId="55ECB834" w14:textId="77777777" w:rsidR="00D05DEF" w:rsidRPr="00747CA2" w:rsidRDefault="00D05DEF" w:rsidP="00D05DEF">
      <w:pPr>
        <w:pStyle w:val="BodyText"/>
        <w:ind w:left="1440" w:hanging="720"/>
        <w:rPr>
          <w:rFonts w:ascii="Arial" w:hAnsi="Arial" w:cs="Arial"/>
        </w:rPr>
      </w:pPr>
      <w:r w:rsidRPr="00C06322">
        <w:rPr>
          <w:rFonts w:ascii="Arial" w:hAnsi="Arial" w:cs="Arial"/>
        </w:rPr>
        <w:t>(c)</w:t>
      </w:r>
      <w:r w:rsidRPr="00C06322">
        <w:rPr>
          <w:rFonts w:ascii="Arial" w:hAnsi="Arial" w:cs="Arial"/>
        </w:rPr>
        <w:tab/>
        <w:t xml:space="preserve">lastly, we divide the NAV for the series by the total number of Units of that series </w:t>
      </w:r>
      <w:r w:rsidRPr="00747CA2">
        <w:rPr>
          <w:rFonts w:ascii="Arial" w:hAnsi="Arial" w:cs="Arial"/>
        </w:rPr>
        <w:t>that investors in the Fund are holding, which gives us the NAV per Unit for that series of Units.</w:t>
      </w:r>
    </w:p>
    <w:p w14:paraId="135E6E5F" w14:textId="7903115E" w:rsidR="00104EB8" w:rsidRPr="00747CA2" w:rsidRDefault="00D05DEF" w:rsidP="00D5533B">
      <w:pPr>
        <w:pStyle w:val="BodyText"/>
        <w:rPr>
          <w:rFonts w:ascii="Arial" w:hAnsi="Arial" w:cs="Arial"/>
        </w:rPr>
      </w:pPr>
      <w:r w:rsidRPr="00747CA2">
        <w:rPr>
          <w:rFonts w:cstheme="minorHAnsi"/>
        </w:rPr>
        <w:t xml:space="preserve">The NAV and NAV per Unit will be available without charge on the Fund’s website at </w:t>
      </w:r>
      <w:hyperlink r:id="rId23" w:history="1">
        <w:r w:rsidR="00F05297" w:rsidRPr="00747CA2">
          <w:rPr>
            <w:rStyle w:val="Hyperlink"/>
            <w:color w:val="auto"/>
          </w:rPr>
          <w:t>www.Barrantagh.com</w:t>
        </w:r>
      </w:hyperlink>
      <w:r w:rsidRPr="00747CA2">
        <w:rPr>
          <w:rFonts w:cstheme="minorHAnsi"/>
        </w:rPr>
        <w:t xml:space="preserve">, or upon request to </w:t>
      </w:r>
      <w:proofErr w:type="spellStart"/>
      <w:r w:rsidRPr="00747CA2">
        <w:rPr>
          <w:rFonts w:cstheme="minorHAnsi"/>
        </w:rPr>
        <w:t>Barrantagh</w:t>
      </w:r>
      <w:proofErr w:type="spellEnd"/>
      <w:r w:rsidRPr="00747CA2">
        <w:rPr>
          <w:rFonts w:cstheme="minorHAnsi"/>
        </w:rPr>
        <w:t xml:space="preserve"> by calling toll-free at</w:t>
      </w:r>
      <w:r w:rsidRPr="00747CA2">
        <w:rPr>
          <w:rFonts w:ascii="Arial" w:hAnsi="Arial" w:cs="Arial"/>
        </w:rPr>
        <w:t xml:space="preserve"> 1-833-246-8468.</w:t>
      </w:r>
    </w:p>
    <w:p w14:paraId="7D6F65AC" w14:textId="7BD48F02" w:rsidR="00D36060" w:rsidRPr="00747CA2" w:rsidRDefault="00D36060" w:rsidP="00D36060">
      <w:pPr>
        <w:pStyle w:val="Heading1"/>
      </w:pPr>
      <w:bookmarkStart w:id="21" w:name="_Toc531895536"/>
      <w:bookmarkStart w:id="22" w:name="_Toc531895614"/>
      <w:bookmarkStart w:id="23" w:name="_Toc531896275"/>
      <w:bookmarkStart w:id="24" w:name="_Toc133828636"/>
      <w:r w:rsidRPr="00747CA2">
        <w:rPr>
          <w:rFonts w:eastAsiaTheme="minorHAnsi"/>
        </w:rPr>
        <w:t xml:space="preserve">Purchases, </w:t>
      </w:r>
      <w:r w:rsidR="00673CA5" w:rsidRPr="00747CA2">
        <w:rPr>
          <w:rFonts w:eastAsiaTheme="minorHAnsi"/>
        </w:rPr>
        <w:t>S</w:t>
      </w:r>
      <w:r w:rsidRPr="00747CA2">
        <w:rPr>
          <w:rFonts w:eastAsiaTheme="minorHAnsi"/>
        </w:rPr>
        <w:t xml:space="preserve">witches and </w:t>
      </w:r>
      <w:r w:rsidR="00673CA5" w:rsidRPr="00747CA2">
        <w:rPr>
          <w:rFonts w:eastAsiaTheme="minorHAnsi"/>
        </w:rPr>
        <w:t>R</w:t>
      </w:r>
      <w:r w:rsidRPr="00747CA2">
        <w:rPr>
          <w:rFonts w:eastAsiaTheme="minorHAnsi"/>
        </w:rPr>
        <w:t>edemptions</w:t>
      </w:r>
      <w:bookmarkEnd w:id="21"/>
      <w:bookmarkEnd w:id="22"/>
      <w:bookmarkEnd w:id="23"/>
      <w:bookmarkEnd w:id="24"/>
    </w:p>
    <w:p w14:paraId="359C74FD" w14:textId="77777777" w:rsidR="00D36060" w:rsidRPr="00747CA2" w:rsidRDefault="00D36060" w:rsidP="00D36060">
      <w:pPr>
        <w:pStyle w:val="Heading2"/>
      </w:pPr>
      <w:bookmarkStart w:id="25" w:name="_Toc531895537"/>
      <w:bookmarkStart w:id="26" w:name="_Toc531895615"/>
      <w:bookmarkStart w:id="27" w:name="_Toc531896276"/>
      <w:bookmarkStart w:id="28" w:name="_Toc133828637"/>
      <w:r w:rsidRPr="00747CA2">
        <w:rPr>
          <w:rFonts w:eastAsiaTheme="minorHAnsi"/>
        </w:rPr>
        <w:t>Units of the Fund</w:t>
      </w:r>
      <w:bookmarkEnd w:id="25"/>
      <w:bookmarkEnd w:id="26"/>
      <w:bookmarkEnd w:id="27"/>
      <w:bookmarkEnd w:id="28"/>
    </w:p>
    <w:p w14:paraId="4E40F157" w14:textId="790388DD" w:rsidR="00D36060" w:rsidRPr="00747CA2" w:rsidRDefault="00D36060" w:rsidP="00D36060">
      <w:pPr>
        <w:pStyle w:val="BodyText"/>
      </w:pPr>
      <w:r w:rsidRPr="00747CA2">
        <w:t xml:space="preserve">The Fund offers Series A Units, Series F Units and Series O Units.  Each unit of a series of the Fund has the same value as another unit of the same series.  The number of units of a series that may be issued is unlimited, unless we determine otherwise in our sole discretion.  Each unit of a series ranks equally with every other unit of that series, except that holders of a fraction of a unit of a series of the Fund will not be entitled to vote at meetings of </w:t>
      </w:r>
      <w:r w:rsidR="00D36CEB" w:rsidRPr="008B7600">
        <w:rPr>
          <w:rFonts w:cstheme="minorHAnsi"/>
          <w:lang w:val="en-US"/>
        </w:rPr>
        <w:t xml:space="preserve">Unitholders </w:t>
      </w:r>
      <w:r w:rsidRPr="00747CA2">
        <w:t>of that series in respect of the fractional unit.  Outstanding units of a series participate equally in distributions of the assets of the Fund to holders of that series on the termination of the Fund.  We may at any time sub-divide or consolidate all units of a series that are outstanding, on notice to you.</w:t>
      </w:r>
      <w:r w:rsidR="00104EB8" w:rsidRPr="00747CA2">
        <w:t xml:space="preserve"> </w:t>
      </w:r>
      <w:r w:rsidR="00104EB8" w:rsidRPr="00747CA2">
        <w:rPr>
          <w:rFonts w:ascii="Arial" w:hAnsi="Arial" w:cs="Arial"/>
          <w:lang w:val="en-US"/>
        </w:rPr>
        <w:t xml:space="preserve">We do not issue Unit certificates.  </w:t>
      </w:r>
    </w:p>
    <w:p w14:paraId="2C7771DF" w14:textId="77777777" w:rsidR="00D36060" w:rsidRPr="00747CA2" w:rsidRDefault="00D36060" w:rsidP="00D36060">
      <w:pPr>
        <w:pStyle w:val="Heading2"/>
      </w:pPr>
      <w:bookmarkStart w:id="29" w:name="_Toc531895538"/>
      <w:bookmarkStart w:id="30" w:name="_Toc531895616"/>
      <w:bookmarkStart w:id="31" w:name="_Toc531896277"/>
      <w:bookmarkStart w:id="32" w:name="_Toc133828638"/>
      <w:r w:rsidRPr="00747CA2">
        <w:rPr>
          <w:rFonts w:eastAsiaTheme="minorHAnsi"/>
        </w:rPr>
        <w:t>Purchasing Units of the Fund</w:t>
      </w:r>
      <w:bookmarkEnd w:id="29"/>
      <w:bookmarkEnd w:id="30"/>
      <w:bookmarkEnd w:id="31"/>
      <w:bookmarkEnd w:id="32"/>
    </w:p>
    <w:p w14:paraId="7D5834A0" w14:textId="161E9F7C" w:rsidR="00D36060" w:rsidRPr="00747CA2" w:rsidRDefault="00D36060" w:rsidP="00D36060">
      <w:r w:rsidRPr="00747CA2">
        <w:rPr>
          <w:lang w:val="en-US"/>
        </w:rPr>
        <w:t xml:space="preserve">Series A Units are generally available to all investors. </w:t>
      </w:r>
      <w:r w:rsidRPr="00747CA2">
        <w:t xml:space="preserve">There are no sales charges when you purchase Series A Units. The minimum initial purchase of Series A Units is $1,000 and subsequent investments must be at least $200. A minimum account balance of $600 must be maintained in respect of the Series A Units. </w:t>
      </w:r>
      <w:r w:rsidRPr="00747CA2">
        <w:rPr>
          <w:rFonts w:cs="Times New Roman"/>
          <w:szCs w:val="21"/>
        </w:rPr>
        <w:t xml:space="preserve">We pay a service fee known as a “trailing commission” to your dealer out of the management fee payable by the Fund to </w:t>
      </w:r>
      <w:proofErr w:type="spellStart"/>
      <w:r w:rsidR="0083052E">
        <w:rPr>
          <w:rFonts w:cstheme="minorHAnsi"/>
        </w:rPr>
        <w:t>Barrantagh</w:t>
      </w:r>
      <w:proofErr w:type="spellEnd"/>
      <w:r w:rsidR="0083052E" w:rsidRPr="002C5257">
        <w:rPr>
          <w:rFonts w:cstheme="minorHAnsi"/>
        </w:rPr>
        <w:t xml:space="preserve"> </w:t>
      </w:r>
      <w:r w:rsidRPr="00747CA2">
        <w:rPr>
          <w:rFonts w:cs="Times New Roman"/>
          <w:szCs w:val="21"/>
        </w:rPr>
        <w:t xml:space="preserve">either monthly or quarterly for ongoing services your dealer may provide to you in respect of your Series A Units, for as long as you hold Series A Units. The service fee is a percentage of the value of the Series A Units you hold and depends, in part, on the services that your dealer has confirmed to us it will provide. The management fee payable by the Fund to </w:t>
      </w:r>
      <w:proofErr w:type="spellStart"/>
      <w:r w:rsidR="0083052E">
        <w:rPr>
          <w:rFonts w:cstheme="minorHAnsi"/>
        </w:rPr>
        <w:t>Barrantagh</w:t>
      </w:r>
      <w:proofErr w:type="spellEnd"/>
      <w:r w:rsidR="0083052E" w:rsidRPr="002C5257">
        <w:rPr>
          <w:rFonts w:cstheme="minorHAnsi"/>
        </w:rPr>
        <w:t xml:space="preserve"> </w:t>
      </w:r>
      <w:r w:rsidRPr="00747CA2">
        <w:rPr>
          <w:rFonts w:cs="Times New Roman"/>
          <w:szCs w:val="21"/>
        </w:rPr>
        <w:t xml:space="preserve">is the same regardless of the amount of service fees paid by </w:t>
      </w:r>
      <w:proofErr w:type="spellStart"/>
      <w:r w:rsidR="0083052E">
        <w:rPr>
          <w:rFonts w:cstheme="minorHAnsi"/>
        </w:rPr>
        <w:t>Barrantagh</w:t>
      </w:r>
      <w:proofErr w:type="spellEnd"/>
      <w:r w:rsidRPr="00747CA2">
        <w:rPr>
          <w:rFonts w:cs="Times New Roman"/>
          <w:szCs w:val="21"/>
        </w:rPr>
        <w:t>. See “</w:t>
      </w:r>
      <w:r w:rsidRPr="00747CA2">
        <w:rPr>
          <w:rFonts w:cs="Times New Roman"/>
          <w:i/>
          <w:iCs/>
          <w:szCs w:val="21"/>
        </w:rPr>
        <w:t>Dealer Compensation</w:t>
      </w:r>
      <w:r w:rsidRPr="00747CA2">
        <w:rPr>
          <w:rFonts w:cs="Times New Roman"/>
          <w:szCs w:val="21"/>
        </w:rPr>
        <w:t xml:space="preserve">”. </w:t>
      </w:r>
    </w:p>
    <w:p w14:paraId="3BE7DC4E" w14:textId="503A1186" w:rsidR="00D36060" w:rsidRPr="00747CA2" w:rsidRDefault="00D36060" w:rsidP="00D36060">
      <w:r w:rsidRPr="00747CA2">
        <w:rPr>
          <w:lang w:val="en-US"/>
        </w:rPr>
        <w:t xml:space="preserve">Series F Units are available to investors who have a fee-based account with their dealer who has signed an agreement with us.  Instead of paying sales charges, investors buying Series F Units pay fees to their dealer for investment advice and/or other services. We do not pay commissions to dealers in respect of Series F Units and can charge a lower management fee than Series A </w:t>
      </w:r>
      <w:r w:rsidRPr="00747CA2">
        <w:rPr>
          <w:lang w:val="en-US"/>
        </w:rPr>
        <w:lastRenderedPageBreak/>
        <w:t>Units of the Fund.</w:t>
      </w:r>
      <w:bookmarkStart w:id="33" w:name="_Hlk65749461"/>
      <w:r w:rsidRPr="00747CA2">
        <w:rPr>
          <w:lang w:val="en-US"/>
        </w:rPr>
        <w:t xml:space="preserve"> </w:t>
      </w:r>
      <w:r w:rsidRPr="00747CA2">
        <w:t xml:space="preserve">There are no sales charges when you purchase Series F Units.  The minimum initial purchase of Series F Units is $1,000 and subsequent investments must be at least $200.  A minimum account balance of $600 must be maintained in respect of the Series F Units. </w:t>
      </w:r>
      <w:bookmarkEnd w:id="33"/>
    </w:p>
    <w:p w14:paraId="48FB71AE" w14:textId="77777777" w:rsidR="00D36060" w:rsidRPr="00747CA2" w:rsidRDefault="00D36060" w:rsidP="00D36060">
      <w:pPr>
        <w:pStyle w:val="BodyText"/>
      </w:pPr>
      <w:r w:rsidRPr="00747CA2">
        <w:t xml:space="preserve">Series O Units are available to investors who have an account with us and enter into a fee agreement with us </w:t>
      </w:r>
      <w:bookmarkStart w:id="34" w:name="_Hlk1470571"/>
      <w:r w:rsidRPr="00747CA2">
        <w:t>or whose dealer has entered into a Series O Units distribution agreement with us</w:t>
      </w:r>
      <w:bookmarkEnd w:id="34"/>
      <w:r w:rsidRPr="00747CA2">
        <w:t xml:space="preserve">.  There are no sales charges when you purchase Series O Units.  No management fees are payable to us by the Fund; rather, the holder of the Series O Units pays management fees to us separately, as agreed to in our fee agreement </w:t>
      </w:r>
      <w:bookmarkStart w:id="35" w:name="_Hlk1470618"/>
      <w:r w:rsidRPr="00747CA2">
        <w:t>with the holder or in our Series O Units distribution agreement with your dealer</w:t>
      </w:r>
      <w:bookmarkEnd w:id="35"/>
      <w:r w:rsidRPr="00747CA2">
        <w:t>.  Any minimum initial or subsequent investment requirements and any minimum account balance requirements which apply in the case of Series O Units will be specified in the fee agreement.</w:t>
      </w:r>
    </w:p>
    <w:p w14:paraId="7144F5C7" w14:textId="3CFA10F8" w:rsidR="00D36060" w:rsidRPr="00747CA2" w:rsidRDefault="00D36060" w:rsidP="00D36060">
      <w:pPr>
        <w:pStyle w:val="BodyText"/>
      </w:pPr>
      <w:r w:rsidRPr="00747CA2">
        <w:t xml:space="preserve">The purchase price for a unit is the applicable NAV per unit for that series.  We calculate the NAV per unit at the close of business on each day that the Toronto Stock Exchange is open (each a </w:t>
      </w:r>
      <w:r w:rsidRPr="00747CA2">
        <w:rPr>
          <w:b/>
        </w:rPr>
        <w:t>Valuation Day</w:t>
      </w:r>
      <w:r w:rsidRPr="00747CA2">
        <w:t>).  If we receive instructions in good order to buy units before 4:00 p.m. (Toronto time) on a Valuation Day, we will process the order using the NAV per unit calculated at the close of business that day.  Otherwise, we will process the order using the NAV per unit calculated at the close of business on the next business day.  For more details about how we calculate the net asset value of a unit, please refer to “</w:t>
      </w:r>
      <w:r w:rsidRPr="00747CA2">
        <w:rPr>
          <w:i/>
        </w:rPr>
        <w:t>Valuation of Portfolio Securities</w:t>
      </w:r>
      <w:r w:rsidRPr="00747CA2">
        <w:t>”</w:t>
      </w:r>
      <w:r w:rsidR="00C70083" w:rsidRPr="00747CA2">
        <w:t>.</w:t>
      </w:r>
    </w:p>
    <w:p w14:paraId="7D95BDC3" w14:textId="2D545C69" w:rsidR="00D36060" w:rsidRPr="00747CA2" w:rsidRDefault="00D36060" w:rsidP="00D36060">
      <w:pPr>
        <w:pStyle w:val="BodyText"/>
      </w:pPr>
      <w:r w:rsidRPr="00747CA2">
        <w:t>We have the right to restrict, reject or cancel, without any prior notice, any purchase order, including transactions that are deemed to represent inappropriate or excessive short-term trading.  We must do so within one business day from the time we receive the order.  If we refuse your order to purchase, we will immediately return any monies we received with your order.</w:t>
      </w:r>
    </w:p>
    <w:p w14:paraId="1869ED88" w14:textId="712F81D7" w:rsidR="00A8144E" w:rsidRPr="00747CA2" w:rsidRDefault="00A8144E" w:rsidP="00D36060">
      <w:pPr>
        <w:pStyle w:val="BodyText"/>
        <w:rPr>
          <w:rFonts w:ascii="Arial" w:hAnsi="Arial" w:cs="Arial"/>
          <w:lang w:val="en-US"/>
        </w:rPr>
      </w:pPr>
      <w:r w:rsidRPr="00747CA2">
        <w:rPr>
          <w:rFonts w:ascii="Arial" w:hAnsi="Arial" w:cs="Arial"/>
          <w:lang w:val="en-US"/>
        </w:rPr>
        <w:t>If you are buying Units, you must generally include payment with your order.  If we do not receive payment within three business days of processing your purchase order for any Units, we must redeem your Units on the next business day.  If the proceeds from the redemption are greater than the payment you owe, the Fund keeps the difference.  If the proceeds are less than the payment you owe, we will pay the difference to the relevant Fund on your behalf, and collect this amount together with additional costs from your dealer, who may in turn collect these amounts from you.</w:t>
      </w:r>
    </w:p>
    <w:p w14:paraId="749DE663" w14:textId="77777777" w:rsidR="00D36060" w:rsidRPr="00B7478C" w:rsidRDefault="00D36060" w:rsidP="00D36060">
      <w:pPr>
        <w:pStyle w:val="Heading2"/>
        <w:rPr>
          <w:rFonts w:eastAsiaTheme="minorHAnsi"/>
        </w:rPr>
      </w:pPr>
      <w:bookmarkStart w:id="36" w:name="_Toc531895539"/>
      <w:bookmarkStart w:id="37" w:name="_Toc531895617"/>
      <w:bookmarkStart w:id="38" w:name="_Toc531896278"/>
      <w:bookmarkStart w:id="39" w:name="_Toc133828639"/>
      <w:r w:rsidRPr="00B7478C">
        <w:rPr>
          <w:rFonts w:eastAsiaTheme="minorHAnsi"/>
        </w:rPr>
        <w:t>Switch Rights</w:t>
      </w:r>
      <w:bookmarkEnd w:id="36"/>
      <w:bookmarkEnd w:id="37"/>
      <w:bookmarkEnd w:id="38"/>
      <w:bookmarkEnd w:id="39"/>
    </w:p>
    <w:p w14:paraId="689C4A3D" w14:textId="48C6BE6F" w:rsidR="00D36060" w:rsidRPr="00725FF8" w:rsidRDefault="00D36060" w:rsidP="00D36060">
      <w:pPr>
        <w:pStyle w:val="BodyText"/>
        <w:rPr>
          <w:lang w:val="en-US"/>
        </w:rPr>
      </w:pPr>
      <w:r w:rsidRPr="00B7478C">
        <w:rPr>
          <w:lang w:val="en-US"/>
        </w:rPr>
        <w:t xml:space="preserve">You can switch your units of one series of the Fund to another series of units of the Fund, </w:t>
      </w:r>
      <w:proofErr w:type="gramStart"/>
      <w:r w:rsidRPr="00B7478C">
        <w:rPr>
          <w:lang w:val="en-US"/>
        </w:rPr>
        <w:t>as long as</w:t>
      </w:r>
      <w:proofErr w:type="gramEnd"/>
      <w:r w:rsidRPr="00B7478C">
        <w:rPr>
          <w:lang w:val="en-US"/>
        </w:rPr>
        <w:t xml:space="preserve"> you are eligible to hold that series. If you switch units of one series of the Fund to another series of the Fund, the value of your investment won’t change (except for any fees you may pay to switch your units), but the number of units you hold will change. This is because each series of the Fund has a different unit value. If you are no longer eligible to hold a series of units we may switch your units to Series A Units, or such other series of units as agreed to by </w:t>
      </w:r>
      <w:proofErr w:type="spellStart"/>
      <w:r w:rsidR="00012515">
        <w:rPr>
          <w:rFonts w:cstheme="minorHAnsi"/>
        </w:rPr>
        <w:t>Barrantagh</w:t>
      </w:r>
      <w:proofErr w:type="spellEnd"/>
      <w:r w:rsidRPr="00B7478C">
        <w:rPr>
          <w:lang w:val="en-US"/>
        </w:rPr>
        <w:t xml:space="preserve">. Your dealer may charge you a fee to switch your units. Based in part on the current published administrative policies and assessing practices of </w:t>
      </w:r>
      <w:r w:rsidRPr="00356F7F">
        <w:rPr>
          <w:lang w:val="en-US"/>
        </w:rPr>
        <w:t xml:space="preserve">the </w:t>
      </w:r>
      <w:r w:rsidR="00356F7F" w:rsidRPr="00356F7F">
        <w:rPr>
          <w:rFonts w:ascii="Arial" w:hAnsi="Arial" w:cs="Arial"/>
        </w:rPr>
        <w:t>Canada Revenue Agency (“</w:t>
      </w:r>
      <w:r w:rsidR="00356F7F" w:rsidRPr="00356F7F">
        <w:rPr>
          <w:rFonts w:ascii="Arial" w:hAnsi="Arial" w:cs="Arial"/>
          <w:b/>
          <w:bCs/>
        </w:rPr>
        <w:t>CRA</w:t>
      </w:r>
      <w:r w:rsidR="00356F7F" w:rsidRPr="00356F7F">
        <w:rPr>
          <w:rFonts w:ascii="Arial" w:hAnsi="Arial" w:cs="Arial"/>
        </w:rPr>
        <w:t>”)</w:t>
      </w:r>
      <w:r w:rsidRPr="00356F7F">
        <w:rPr>
          <w:lang w:val="en-US"/>
        </w:rPr>
        <w:t>, a</w:t>
      </w:r>
      <w:r w:rsidRPr="00B7478C">
        <w:rPr>
          <w:lang w:val="en-US"/>
        </w:rPr>
        <w:t xml:space="preserve"> switch from one series of the Fund </w:t>
      </w:r>
      <w:r w:rsidRPr="00725FF8">
        <w:rPr>
          <w:lang w:val="en-US"/>
        </w:rPr>
        <w:t>to another series of the Fund is generally not considered a disposition for tax purposes.</w:t>
      </w:r>
    </w:p>
    <w:p w14:paraId="4ED9041D" w14:textId="77777777" w:rsidR="00D36060" w:rsidRPr="00725FF8" w:rsidRDefault="00D36060" w:rsidP="00D36060">
      <w:pPr>
        <w:pStyle w:val="Heading2"/>
      </w:pPr>
      <w:bookmarkStart w:id="40" w:name="_Toc531895540"/>
      <w:bookmarkStart w:id="41" w:name="_Toc531895618"/>
      <w:bookmarkStart w:id="42" w:name="_Toc531896279"/>
      <w:bookmarkStart w:id="43" w:name="_Toc133828640"/>
      <w:r w:rsidRPr="00725FF8">
        <w:rPr>
          <w:rFonts w:eastAsiaTheme="minorHAnsi"/>
        </w:rPr>
        <w:t>Redeeming Units of the Fund</w:t>
      </w:r>
      <w:bookmarkEnd w:id="40"/>
      <w:bookmarkEnd w:id="41"/>
      <w:bookmarkEnd w:id="42"/>
      <w:bookmarkEnd w:id="43"/>
    </w:p>
    <w:p w14:paraId="767FB355" w14:textId="4806A916" w:rsidR="00D36060" w:rsidRPr="00725FF8" w:rsidRDefault="00D36060" w:rsidP="00D36060">
      <w:pPr>
        <w:pStyle w:val="BodyText"/>
      </w:pPr>
      <w:r w:rsidRPr="00725FF8">
        <w:t xml:space="preserve">You may redeem units of the Fund at any time so long as redemption rights have not been suspended.  </w:t>
      </w:r>
      <w:r w:rsidR="00EE73E4" w:rsidRPr="00725FF8">
        <w:rPr>
          <w:rFonts w:ascii="Arial" w:hAnsi="Arial" w:cs="Arial"/>
        </w:rPr>
        <w:t xml:space="preserve">When redeeming Units of the Fund you should indicate whether you wish to redeem </w:t>
      </w:r>
      <w:r w:rsidR="00EE73E4" w:rsidRPr="00725FF8">
        <w:rPr>
          <w:rFonts w:ascii="Arial" w:hAnsi="Arial" w:cs="Arial"/>
        </w:rPr>
        <w:lastRenderedPageBreak/>
        <w:t xml:space="preserve">a specified dollar amount or number of Units.  You may have to pay an administrative fee to your dealer for each redemption of Series A or Series F Units.  </w:t>
      </w:r>
      <w:r w:rsidR="00EE73E4" w:rsidRPr="00725FF8">
        <w:rPr>
          <w:rFonts w:ascii="Arial" w:hAnsi="Arial" w:cs="Arial"/>
          <w:lang w:val="en-US"/>
        </w:rPr>
        <w:t>Except as discussed under “</w:t>
      </w:r>
      <w:r w:rsidR="00EE73E4" w:rsidRPr="00725FF8">
        <w:rPr>
          <w:rFonts w:ascii="Arial" w:hAnsi="Arial" w:cs="Arial"/>
          <w:i/>
          <w:lang w:val="en-US"/>
        </w:rPr>
        <w:t>When you may not be allowed to redeem your Units</w:t>
      </w:r>
      <w:r w:rsidR="00EE73E4" w:rsidRPr="00725FF8">
        <w:rPr>
          <w:rFonts w:ascii="Arial" w:hAnsi="Arial" w:cs="Arial"/>
          <w:lang w:val="en-US"/>
        </w:rPr>
        <w:t>”</w:t>
      </w:r>
      <w:r w:rsidR="00EE73E4" w:rsidRPr="00725FF8">
        <w:rPr>
          <w:rFonts w:ascii="Arial" w:hAnsi="Arial" w:cs="Arial"/>
          <w:i/>
          <w:lang w:val="en-US"/>
        </w:rPr>
        <w:t xml:space="preserve"> </w:t>
      </w:r>
      <w:r w:rsidR="00EE73E4" w:rsidRPr="00725FF8">
        <w:rPr>
          <w:rFonts w:ascii="Arial" w:hAnsi="Arial" w:cs="Arial"/>
          <w:lang w:val="en-US"/>
        </w:rPr>
        <w:t xml:space="preserve">below, we cannot refuse an order to redeem Units. </w:t>
      </w:r>
    </w:p>
    <w:p w14:paraId="06405A22" w14:textId="5D0A415A" w:rsidR="00EE73E4" w:rsidRPr="00725FF8" w:rsidRDefault="00EE73E4" w:rsidP="00EE73E4">
      <w:pPr>
        <w:pStyle w:val="Heading3"/>
        <w:rPr>
          <w:rFonts w:ascii="Arial" w:hAnsi="Arial" w:cs="Arial"/>
          <w:b/>
        </w:rPr>
      </w:pPr>
      <w:bookmarkStart w:id="44" w:name="_Toc371959325"/>
      <w:bookmarkStart w:id="45" w:name="_Toc371959938"/>
      <w:bookmarkStart w:id="46" w:name="_Toc531895541"/>
      <w:bookmarkStart w:id="47" w:name="_Toc531895619"/>
      <w:bookmarkStart w:id="48" w:name="_Toc531896280"/>
      <w:r w:rsidRPr="00725FF8">
        <w:rPr>
          <w:rFonts w:ascii="Arial" w:hAnsi="Arial" w:cs="Arial"/>
          <w:b/>
          <w:i w:val="0"/>
        </w:rPr>
        <w:t xml:space="preserve">How </w:t>
      </w:r>
      <w:r w:rsidR="009E2674" w:rsidRPr="00725FF8">
        <w:rPr>
          <w:rFonts w:ascii="Arial" w:hAnsi="Arial" w:cs="Arial"/>
          <w:b/>
          <w:i w:val="0"/>
        </w:rPr>
        <w:t>We Process Your Redemption Order</w:t>
      </w:r>
      <w:bookmarkEnd w:id="44"/>
      <w:bookmarkEnd w:id="45"/>
    </w:p>
    <w:p w14:paraId="6DCE7F2C" w14:textId="77777777" w:rsidR="00EE73E4" w:rsidRPr="00725FF8" w:rsidRDefault="00EE73E4" w:rsidP="00EE73E4">
      <w:pPr>
        <w:pStyle w:val="BodyText"/>
        <w:rPr>
          <w:rFonts w:ascii="Arial" w:hAnsi="Arial" w:cs="Arial"/>
        </w:rPr>
      </w:pPr>
      <w:r w:rsidRPr="00725FF8">
        <w:rPr>
          <w:rFonts w:ascii="Arial" w:hAnsi="Arial" w:cs="Arial"/>
        </w:rPr>
        <w:t>In respect of any redemption, if we receive your order by 4:00 p.m. (Toronto time) on a Valuation Date, we will process it at the applicable NAV per Unit determined on such date.  All Units that have been surrendered for redemption prior to 4:00 p.m. (Toronto time) on a Valuation Date will be deemed to be outstanding until (but not after) the close of business on that Valuation Date.</w:t>
      </w:r>
    </w:p>
    <w:p w14:paraId="25F1BD5D" w14:textId="77777777" w:rsidR="00EE73E4" w:rsidRPr="00725FF8" w:rsidRDefault="00EE73E4" w:rsidP="00EE73E4">
      <w:pPr>
        <w:pStyle w:val="BodyText"/>
        <w:rPr>
          <w:rFonts w:ascii="Arial" w:hAnsi="Arial" w:cs="Arial"/>
        </w:rPr>
      </w:pPr>
      <w:r w:rsidRPr="00E574A1">
        <w:rPr>
          <w:rFonts w:ascii="Arial" w:hAnsi="Arial" w:cs="Arial"/>
        </w:rPr>
        <w:t>If we receive your redemption order after 4:00 p.m. (Toronto time) on a day that is a Valuation Date, or on a day which is not a Valuation Date, we will process it at the applicable NAV per Unit calculated on the next following Valuation Date.  If the Toronto Stock Exchange closes earlier than 4:00 p.m. (Toronto time) on a Valuation Date, we may impose an earlier deadline for receipt of redemption orders.  Payment of any redemption proceeds owing will be made within two Trading Days.</w:t>
      </w:r>
    </w:p>
    <w:p w14:paraId="45FA4E5C" w14:textId="77777777" w:rsidR="00EE73E4" w:rsidRPr="00725FF8" w:rsidRDefault="00EE73E4" w:rsidP="00EE73E4">
      <w:pPr>
        <w:pStyle w:val="BodyText"/>
        <w:rPr>
          <w:rFonts w:ascii="Arial" w:hAnsi="Arial" w:cs="Arial"/>
        </w:rPr>
      </w:pPr>
      <w:r w:rsidRPr="00725FF8">
        <w:rPr>
          <w:rFonts w:ascii="Arial" w:hAnsi="Arial" w:cs="Arial"/>
        </w:rPr>
        <w:t>We may refuse to process your order if it is not in good order or if all necessary documents and/or information have not been received.  If we process it anyway, and have not received all the necessary documentation and/or information needed to settle your redemption request within 10 Trading Days of a Valuation Date, we are required under securities legislation to purchase the equivalent number of Units you asked to be redeemed as of the close of business on the tenth business day.  If the purchase price of those Units is less than your redemption price, the Fund will keep the difference.  If the amount of the purchase price exceeds your redemption price, we will pay the difference to the Fund and may seek reimbursement from your dealer, together with additional costs.  Your dealer may be entitled to recover these amounts from you.</w:t>
      </w:r>
    </w:p>
    <w:p w14:paraId="2E9CF464" w14:textId="28C7744B" w:rsidR="00EE73E4" w:rsidRPr="00725FF8" w:rsidRDefault="00EE73E4" w:rsidP="00EE73E4">
      <w:pPr>
        <w:pStyle w:val="BodyText"/>
        <w:rPr>
          <w:rFonts w:ascii="Arial" w:hAnsi="Arial" w:cs="Arial"/>
        </w:rPr>
      </w:pPr>
      <w:r w:rsidRPr="00725FF8">
        <w:rPr>
          <w:rFonts w:ascii="Arial" w:hAnsi="Arial" w:cs="Arial"/>
        </w:rPr>
        <w:t>You are responsible for tracking the adjusted cost base of your Units held outside a Registered Plan</w:t>
      </w:r>
      <w:r w:rsidR="00047ABA">
        <w:rPr>
          <w:rFonts w:ascii="Arial" w:hAnsi="Arial" w:cs="Arial"/>
        </w:rPr>
        <w:t xml:space="preserve"> (as defined herein)</w:t>
      </w:r>
      <w:r w:rsidRPr="00725FF8">
        <w:rPr>
          <w:rFonts w:ascii="Arial" w:hAnsi="Arial" w:cs="Arial"/>
        </w:rPr>
        <w:t xml:space="preserve"> and reporting to the </w:t>
      </w:r>
      <w:r w:rsidRPr="00356F7F">
        <w:rPr>
          <w:rFonts w:ascii="Arial" w:hAnsi="Arial" w:cs="Arial"/>
        </w:rPr>
        <w:t>CRA</w:t>
      </w:r>
      <w:r w:rsidR="00356F7F">
        <w:rPr>
          <w:rFonts w:ascii="Arial" w:hAnsi="Arial" w:cs="Arial"/>
        </w:rPr>
        <w:t xml:space="preserve"> </w:t>
      </w:r>
      <w:r w:rsidRPr="00725FF8">
        <w:rPr>
          <w:rFonts w:ascii="Arial" w:hAnsi="Arial" w:cs="Arial"/>
        </w:rPr>
        <w:t>any capital gains or losses that you realize from redeeming Units. You should consult with your own tax advisor in respect of how to compute the adjusted cost base of your Units. If you hold your Units in a Registered Plan, tax may apply if you withdraw money from the plan.</w:t>
      </w:r>
    </w:p>
    <w:p w14:paraId="5658796B" w14:textId="145AEFF5" w:rsidR="00EE73E4" w:rsidRPr="00725FF8" w:rsidRDefault="00EE73E4" w:rsidP="00EE73E4">
      <w:pPr>
        <w:pStyle w:val="BodyText"/>
        <w:rPr>
          <w:rFonts w:ascii="Arial" w:hAnsi="Arial" w:cs="Arial"/>
          <w:b/>
          <w:i/>
        </w:rPr>
      </w:pPr>
      <w:r w:rsidRPr="00725FF8">
        <w:rPr>
          <w:rFonts w:ascii="Arial" w:hAnsi="Arial" w:cs="Arial"/>
          <w:b/>
          <w:i/>
        </w:rPr>
        <w:t xml:space="preserve">When </w:t>
      </w:r>
      <w:r w:rsidR="009E2674">
        <w:rPr>
          <w:rFonts w:ascii="Arial" w:hAnsi="Arial" w:cs="Arial"/>
          <w:b/>
          <w:i/>
        </w:rPr>
        <w:t>You</w:t>
      </w:r>
      <w:r w:rsidR="00E574A1">
        <w:rPr>
          <w:rFonts w:ascii="Arial" w:hAnsi="Arial" w:cs="Arial"/>
          <w:b/>
          <w:i/>
        </w:rPr>
        <w:t xml:space="preserve"> </w:t>
      </w:r>
      <w:r w:rsidR="009E2674">
        <w:rPr>
          <w:rFonts w:ascii="Arial" w:hAnsi="Arial" w:cs="Arial"/>
          <w:b/>
          <w:i/>
        </w:rPr>
        <w:t>Have</w:t>
      </w:r>
      <w:r w:rsidR="00E574A1">
        <w:rPr>
          <w:rFonts w:ascii="Arial" w:hAnsi="Arial" w:cs="Arial"/>
          <w:b/>
          <w:i/>
        </w:rPr>
        <w:t xml:space="preserve"> to</w:t>
      </w:r>
      <w:r w:rsidR="00E574A1" w:rsidRPr="00725FF8">
        <w:rPr>
          <w:rFonts w:ascii="Arial" w:hAnsi="Arial" w:cs="Arial"/>
          <w:b/>
          <w:i/>
        </w:rPr>
        <w:t xml:space="preserve"> Redeem </w:t>
      </w:r>
      <w:r w:rsidRPr="00725FF8">
        <w:rPr>
          <w:rFonts w:ascii="Arial" w:hAnsi="Arial" w:cs="Arial"/>
          <w:b/>
          <w:i/>
        </w:rPr>
        <w:t>Units</w:t>
      </w:r>
    </w:p>
    <w:p w14:paraId="1B36D697" w14:textId="0D9AC36E" w:rsidR="00EE73E4" w:rsidRPr="00725FF8" w:rsidRDefault="00EE73E4" w:rsidP="00EE73E4">
      <w:pPr>
        <w:autoSpaceDE w:val="0"/>
        <w:autoSpaceDN w:val="0"/>
        <w:adjustRightInd w:val="0"/>
        <w:rPr>
          <w:rFonts w:ascii="Arial" w:hAnsi="Arial" w:cs="Arial"/>
          <w:lang w:val="en-US"/>
        </w:rPr>
      </w:pPr>
      <w:r w:rsidRPr="00725FF8">
        <w:rPr>
          <w:rFonts w:ascii="Arial" w:hAnsi="Arial" w:cs="Arial"/>
          <w:lang w:val="en-US"/>
        </w:rPr>
        <w:t xml:space="preserve">The Fund may, but in the discretion of </w:t>
      </w:r>
      <w:proofErr w:type="spellStart"/>
      <w:r w:rsidR="00012515">
        <w:rPr>
          <w:rFonts w:cstheme="minorHAnsi"/>
        </w:rPr>
        <w:t>Barrantagh</w:t>
      </w:r>
      <w:proofErr w:type="spellEnd"/>
      <w:r w:rsidR="00012515">
        <w:rPr>
          <w:rFonts w:cstheme="minorHAnsi"/>
        </w:rPr>
        <w:t xml:space="preserve"> </w:t>
      </w:r>
      <w:r w:rsidRPr="00725FF8">
        <w:rPr>
          <w:rFonts w:ascii="Arial" w:hAnsi="Arial" w:cs="Arial"/>
          <w:lang w:val="en-US"/>
        </w:rPr>
        <w:t xml:space="preserve">need not, redeem Units at their applicable series NAV per Unit if at any time the aggregate value of Units held by any Unitholder in the Fund is less than the minimum initial investment or minimum balance required of that investor.  Before any such redemption is implemented, the Unitholder will be notified by </w:t>
      </w:r>
      <w:proofErr w:type="spellStart"/>
      <w:r w:rsidR="00012515">
        <w:rPr>
          <w:rFonts w:cstheme="minorHAnsi"/>
        </w:rPr>
        <w:t>Barrantagh</w:t>
      </w:r>
      <w:proofErr w:type="spellEnd"/>
      <w:r w:rsidR="00012515">
        <w:rPr>
          <w:rFonts w:cstheme="minorHAnsi"/>
        </w:rPr>
        <w:t xml:space="preserve"> </w:t>
      </w:r>
      <w:r w:rsidRPr="00725FF8">
        <w:rPr>
          <w:rFonts w:ascii="Arial" w:hAnsi="Arial" w:cs="Arial"/>
          <w:lang w:val="en-US"/>
        </w:rPr>
        <w:t>that the value of the Units held is less than such minimum amount and allowed a period of 60 days to purchase additional Units in the Fund in an amount sufficient to increase the aggregate value of all Units held by the Unitholder in the Fund to at least such minimum amount, before any redemption is processed pursuant to this Section.</w:t>
      </w:r>
      <w:r w:rsidR="00012515">
        <w:rPr>
          <w:rFonts w:ascii="Arial" w:hAnsi="Arial" w:cs="Arial"/>
          <w:lang w:val="en-US"/>
        </w:rPr>
        <w:t xml:space="preserve"> </w:t>
      </w:r>
      <w:proofErr w:type="spellStart"/>
      <w:r w:rsidR="00012515">
        <w:rPr>
          <w:rFonts w:cstheme="minorHAnsi"/>
        </w:rPr>
        <w:t>Barrantagh</w:t>
      </w:r>
      <w:proofErr w:type="spellEnd"/>
      <w:r w:rsidR="00012515">
        <w:rPr>
          <w:rFonts w:cstheme="minorHAnsi"/>
        </w:rPr>
        <w:t xml:space="preserve"> </w:t>
      </w:r>
      <w:r w:rsidRPr="00725FF8">
        <w:rPr>
          <w:rFonts w:ascii="Arial" w:hAnsi="Arial" w:cs="Arial"/>
          <w:lang w:val="en-US"/>
        </w:rPr>
        <w:t>may also redeem Units of a Unitholder at their applicable series NAV per Unit if at any time the continuation of the Unitholder as a Unitholder in the Fund is adverse in interest to the Fund as a whole or its other Unitholders.</w:t>
      </w:r>
    </w:p>
    <w:p w14:paraId="21D314BB" w14:textId="77777777" w:rsidR="00EE73E4" w:rsidRPr="001E1D89" w:rsidRDefault="00EE73E4" w:rsidP="00EE73E4">
      <w:pPr>
        <w:autoSpaceDE w:val="0"/>
        <w:autoSpaceDN w:val="0"/>
        <w:adjustRightInd w:val="0"/>
        <w:rPr>
          <w:rFonts w:ascii="Arial" w:hAnsi="Arial" w:cs="Arial"/>
          <w:lang w:val="en-US"/>
        </w:rPr>
      </w:pPr>
      <w:r w:rsidRPr="00725FF8">
        <w:rPr>
          <w:rFonts w:ascii="Arial" w:hAnsi="Arial" w:cs="Arial"/>
          <w:lang w:val="en-US"/>
        </w:rPr>
        <w:t>If a Unitholder is or becomes a citizen or resident of the U.S. or a resident of any other foreign country or is or becomes a partnership other than a “Canadian Partnership”, we may require such investor to redeem the Units owned if continued participation in the Fund has the potential to cause adverse regulatory or tax consequences for the Fund or other Unitholders.  See “</w:t>
      </w:r>
      <w:r w:rsidRPr="00725FF8">
        <w:rPr>
          <w:rFonts w:ascii="Arial" w:hAnsi="Arial" w:cs="Arial"/>
          <w:i/>
          <w:lang w:val="en-US"/>
        </w:rPr>
        <w:t>Non-</w:t>
      </w:r>
      <w:r w:rsidRPr="00725FF8">
        <w:rPr>
          <w:rFonts w:ascii="Arial" w:hAnsi="Arial" w:cs="Arial"/>
          <w:i/>
          <w:lang w:val="en-US"/>
        </w:rPr>
        <w:lastRenderedPageBreak/>
        <w:t>Resident Unitholders</w:t>
      </w:r>
      <w:r w:rsidRPr="00725FF8">
        <w:rPr>
          <w:rFonts w:ascii="Arial" w:hAnsi="Arial" w:cs="Arial"/>
          <w:lang w:val="en-US"/>
        </w:rPr>
        <w:t xml:space="preserve">”.  We may redeem your Units if we are permitted or required to do so, </w:t>
      </w:r>
      <w:r w:rsidRPr="001E1D89">
        <w:rPr>
          <w:rFonts w:ascii="Arial" w:hAnsi="Arial" w:cs="Arial"/>
          <w:lang w:val="en-US"/>
        </w:rPr>
        <w:t>including in connection with the termination of the Fund, in accordance with applicable law.  If we redeem your Units, the effect will be the same as if you initiated the transaction.</w:t>
      </w:r>
    </w:p>
    <w:p w14:paraId="39CF146A" w14:textId="50DE106F" w:rsidR="00EE73E4" w:rsidRPr="001E1D89" w:rsidRDefault="00EE73E4" w:rsidP="00EE73E4">
      <w:pPr>
        <w:keepNext/>
        <w:outlineLvl w:val="2"/>
        <w:rPr>
          <w:rFonts w:ascii="Arial" w:eastAsiaTheme="majorEastAsia" w:hAnsi="Arial" w:cs="Arial"/>
          <w:b/>
          <w:bCs/>
          <w:i/>
        </w:rPr>
      </w:pPr>
      <w:bookmarkStart w:id="49" w:name="_Toc371959329"/>
      <w:bookmarkStart w:id="50" w:name="_Toc371959942"/>
      <w:r w:rsidRPr="001E1D89">
        <w:rPr>
          <w:rFonts w:ascii="Arial" w:eastAsiaTheme="majorEastAsia" w:hAnsi="Arial" w:cs="Arial"/>
          <w:b/>
          <w:bCs/>
          <w:i/>
        </w:rPr>
        <w:t xml:space="preserve">When </w:t>
      </w:r>
      <w:r w:rsidR="009E2674" w:rsidRPr="001E1D89">
        <w:rPr>
          <w:rFonts w:ascii="Arial" w:eastAsiaTheme="majorEastAsia" w:hAnsi="Arial" w:cs="Arial"/>
          <w:b/>
          <w:bCs/>
          <w:i/>
        </w:rPr>
        <w:t xml:space="preserve">You May Not </w:t>
      </w:r>
      <w:r w:rsidR="009E2674">
        <w:rPr>
          <w:rFonts w:ascii="Arial" w:eastAsiaTheme="majorEastAsia" w:hAnsi="Arial" w:cs="Arial"/>
          <w:b/>
          <w:bCs/>
          <w:i/>
        </w:rPr>
        <w:t>be</w:t>
      </w:r>
      <w:r w:rsidR="009E2674" w:rsidRPr="001E1D89">
        <w:rPr>
          <w:rFonts w:ascii="Arial" w:eastAsiaTheme="majorEastAsia" w:hAnsi="Arial" w:cs="Arial"/>
          <w:b/>
          <w:bCs/>
          <w:i/>
        </w:rPr>
        <w:t xml:space="preserve"> Allowed </w:t>
      </w:r>
      <w:r w:rsidR="009E2674">
        <w:rPr>
          <w:rFonts w:ascii="Arial" w:eastAsiaTheme="majorEastAsia" w:hAnsi="Arial" w:cs="Arial"/>
          <w:b/>
          <w:bCs/>
          <w:i/>
        </w:rPr>
        <w:t>to</w:t>
      </w:r>
      <w:r w:rsidR="009E2674" w:rsidRPr="001E1D89">
        <w:rPr>
          <w:rFonts w:ascii="Arial" w:eastAsiaTheme="majorEastAsia" w:hAnsi="Arial" w:cs="Arial"/>
          <w:b/>
          <w:bCs/>
          <w:i/>
        </w:rPr>
        <w:t xml:space="preserve"> Redeem Your </w:t>
      </w:r>
      <w:bookmarkEnd w:id="49"/>
      <w:bookmarkEnd w:id="50"/>
      <w:r w:rsidRPr="001E1D89">
        <w:rPr>
          <w:rFonts w:ascii="Arial" w:eastAsiaTheme="majorEastAsia" w:hAnsi="Arial" w:cs="Arial"/>
          <w:b/>
          <w:bCs/>
          <w:i/>
        </w:rPr>
        <w:t>Units</w:t>
      </w:r>
    </w:p>
    <w:p w14:paraId="584EEF1D" w14:textId="77777777" w:rsidR="00EE73E4" w:rsidRPr="001E1D89" w:rsidRDefault="00EE73E4" w:rsidP="00EE73E4">
      <w:pPr>
        <w:rPr>
          <w:rFonts w:ascii="Arial" w:hAnsi="Arial" w:cs="Arial"/>
        </w:rPr>
      </w:pPr>
      <w:r w:rsidRPr="001E1D89">
        <w:rPr>
          <w:rFonts w:ascii="Arial" w:hAnsi="Arial" w:cs="Arial"/>
        </w:rPr>
        <w:t>The Fund may suspend your right to request a redemption of Units for all or part of a period when:</w:t>
      </w:r>
    </w:p>
    <w:p w14:paraId="673805BF" w14:textId="77777777" w:rsidR="00EE73E4" w:rsidRPr="001E1D89" w:rsidRDefault="00EE73E4" w:rsidP="00EE73E4">
      <w:pPr>
        <w:pStyle w:val="BodyText"/>
        <w:ind w:left="1440" w:hanging="720"/>
        <w:rPr>
          <w:rFonts w:ascii="Arial" w:hAnsi="Arial" w:cs="Arial"/>
        </w:rPr>
      </w:pPr>
      <w:r w:rsidRPr="001E1D89">
        <w:rPr>
          <w:rFonts w:ascii="Arial" w:hAnsi="Arial" w:cs="Arial"/>
        </w:rPr>
        <w:t>(a)</w:t>
      </w:r>
      <w:r w:rsidRPr="001E1D89">
        <w:rPr>
          <w:rFonts w:ascii="Arial" w:hAnsi="Arial" w:cs="Arial"/>
        </w:rPr>
        <w:tab/>
        <w:t>normal trading is suspended on a stock, options or futures exchange in Canada or outside Canada in which securities that make up more than 50% of the value or underlying exposure of the Fund’s total assets are traded, and</w:t>
      </w:r>
    </w:p>
    <w:p w14:paraId="6B4164E6" w14:textId="77777777" w:rsidR="00EE73E4" w:rsidRPr="001E1D89" w:rsidRDefault="00EE73E4" w:rsidP="00EE73E4">
      <w:pPr>
        <w:pStyle w:val="BodyText"/>
        <w:ind w:left="1440" w:hanging="720"/>
        <w:rPr>
          <w:rFonts w:ascii="Arial" w:hAnsi="Arial" w:cs="Arial"/>
        </w:rPr>
      </w:pPr>
      <w:r w:rsidRPr="001E1D89">
        <w:rPr>
          <w:rFonts w:ascii="Arial" w:hAnsi="Arial" w:cs="Arial"/>
        </w:rPr>
        <w:t>(b)</w:t>
      </w:r>
      <w:r w:rsidRPr="001E1D89">
        <w:rPr>
          <w:rFonts w:ascii="Arial" w:hAnsi="Arial" w:cs="Arial"/>
        </w:rPr>
        <w:tab/>
        <w:t>those securities are not traded on any other exchange that represents a reasonable alternative for the Fund.</w:t>
      </w:r>
    </w:p>
    <w:p w14:paraId="46C8B6B4" w14:textId="02BECDCF" w:rsidR="00EE73E4" w:rsidRPr="00375AF2" w:rsidRDefault="00EE73E4" w:rsidP="00EE73E4">
      <w:pPr>
        <w:rPr>
          <w:rFonts w:ascii="Arial" w:hAnsi="Arial" w:cs="Arial"/>
        </w:rPr>
      </w:pPr>
      <w:r w:rsidRPr="001E1D89">
        <w:rPr>
          <w:rFonts w:ascii="Arial" w:hAnsi="Arial" w:cs="Arial"/>
        </w:rPr>
        <w:t xml:space="preserve">The Fund may postpone a redemption payment for any period during which your right to request a redemption is suspended under the circumstances described above or with the approval of the Canadian securities regulators.  The Fund may not accept orders for the purchase of Units during any </w:t>
      </w:r>
      <w:r w:rsidRPr="00375AF2">
        <w:rPr>
          <w:rFonts w:ascii="Arial" w:hAnsi="Arial" w:cs="Arial"/>
        </w:rPr>
        <w:t>period when the redemption of its Units has been suspended.</w:t>
      </w:r>
    </w:p>
    <w:p w14:paraId="6CEA1E31" w14:textId="4DF198A7" w:rsidR="00C169E3" w:rsidRPr="00375AF2" w:rsidRDefault="00C169E3" w:rsidP="001E1D89">
      <w:pPr>
        <w:pStyle w:val="Heading3"/>
        <w:rPr>
          <w:b/>
        </w:rPr>
      </w:pPr>
      <w:r w:rsidRPr="00375AF2">
        <w:rPr>
          <w:b/>
        </w:rPr>
        <w:t>Allocation of Capital Gains to Redeeming Unitholders</w:t>
      </w:r>
    </w:p>
    <w:p w14:paraId="5EE9D77D" w14:textId="58F2EFA3" w:rsidR="00EE73E4" w:rsidRPr="00375AF2" w:rsidRDefault="00EE73E4" w:rsidP="001E1D89">
      <w:pPr>
        <w:autoSpaceDE w:val="0"/>
        <w:autoSpaceDN w:val="0"/>
        <w:adjustRightInd w:val="0"/>
        <w:snapToGrid w:val="0"/>
        <w:spacing w:before="289" w:after="0"/>
      </w:pPr>
      <w:r w:rsidRPr="00375AF2">
        <w:rPr>
          <w:rFonts w:asciiTheme="majorHAnsi" w:eastAsia="Times New Roman" w:hAnsiTheme="majorHAnsi" w:cstheme="majorHAnsi"/>
          <w:lang w:val="en-US"/>
        </w:rPr>
        <w:t xml:space="preserve">We may distribute, allocate and designate as payable to redeeming Unitholders capital gains realized by the Fund in connection with the disposition of securities required </w:t>
      </w:r>
      <w:proofErr w:type="gramStart"/>
      <w:r w:rsidRPr="00375AF2">
        <w:rPr>
          <w:rFonts w:asciiTheme="majorHAnsi" w:eastAsia="Times New Roman" w:hAnsiTheme="majorHAnsi" w:cstheme="majorHAnsi"/>
          <w:lang w:val="en-US"/>
        </w:rPr>
        <w:t>in order to</w:t>
      </w:r>
      <w:proofErr w:type="gramEnd"/>
      <w:r w:rsidRPr="00375AF2">
        <w:rPr>
          <w:rFonts w:asciiTheme="majorHAnsi" w:eastAsia="Times New Roman" w:hAnsiTheme="majorHAnsi" w:cstheme="majorHAnsi"/>
          <w:lang w:val="en-US"/>
        </w:rPr>
        <w:t xml:space="preserve"> fund a redemption. In addition, we may distribute, allocate and designate any capital gains of the Fund to a Unitholder who has redeemed Units during a year in an amount equal to the Unitholder’s share, at the time of redemption, of the Fund’s capital gains for the year. Any such distributions, allocations and designations will reduce the redemption price otherwise payable to the redeeming Unitholder. Based on recent amendments to the Tax Act, an amount so allocated and designated to a redeeming Unitholder generally will only be deductible to the Fund to the extent of the gain that would otherwise be realized by the Unitholder on the redemption of Units. </w:t>
      </w:r>
      <w:r w:rsidRPr="00375AF2">
        <w:t xml:space="preserve"> </w:t>
      </w:r>
    </w:p>
    <w:p w14:paraId="4F0A61F9" w14:textId="77777777" w:rsidR="001E1D89" w:rsidRPr="000C7AA2" w:rsidRDefault="001E1D89" w:rsidP="001E1D89">
      <w:pPr>
        <w:autoSpaceDE w:val="0"/>
        <w:autoSpaceDN w:val="0"/>
        <w:adjustRightInd w:val="0"/>
        <w:snapToGrid w:val="0"/>
        <w:spacing w:after="0"/>
        <w:rPr>
          <w:rFonts w:asciiTheme="majorHAnsi" w:eastAsia="Times New Roman" w:hAnsiTheme="majorHAnsi" w:cstheme="majorHAnsi"/>
          <w:lang w:val="en-US"/>
        </w:rPr>
      </w:pPr>
    </w:p>
    <w:p w14:paraId="1F73B7CD" w14:textId="77777777" w:rsidR="00D36060" w:rsidRPr="000C7AA2" w:rsidRDefault="00D36060" w:rsidP="00D36060">
      <w:pPr>
        <w:pStyle w:val="Heading2"/>
      </w:pPr>
      <w:bookmarkStart w:id="51" w:name="_Toc133828641"/>
      <w:r w:rsidRPr="000C7AA2">
        <w:rPr>
          <w:rFonts w:eastAsiaTheme="minorHAnsi"/>
        </w:rPr>
        <w:t>Short Term Trading</w:t>
      </w:r>
      <w:bookmarkEnd w:id="46"/>
      <w:bookmarkEnd w:id="47"/>
      <w:bookmarkEnd w:id="48"/>
      <w:bookmarkEnd w:id="51"/>
    </w:p>
    <w:p w14:paraId="355F02E6" w14:textId="77777777" w:rsidR="00D36060" w:rsidRPr="000C7AA2" w:rsidRDefault="00D36060" w:rsidP="00D36060">
      <w:pPr>
        <w:pStyle w:val="BodyText"/>
      </w:pPr>
      <w:r w:rsidRPr="000C7AA2">
        <w:t xml:space="preserve">Where investors make short-term trades in mutual fund securities, buying such securities one day and selling them a short time thereafter, there can be adverse effects on the other investors in the mutual fund.  The mutual fund may incur additional trading costs in first purchasing portfolio securities with the short term investor’s subscription funds, and then in selling portfolio securities to pay the proceeds of redemption to that investor, depending upon the mutual fund’s cash position.  Further, such an investor may enjoy the benefits of any capital appreciation incurred in the mutual fund without that investor’s contribution </w:t>
      </w:r>
      <w:proofErr w:type="gramStart"/>
      <w:r w:rsidRPr="000C7AA2">
        <w:t>actually being</w:t>
      </w:r>
      <w:proofErr w:type="gramEnd"/>
      <w:r w:rsidRPr="000C7AA2">
        <w:t xml:space="preserve"> invested in time to contribute to that appreciation.</w:t>
      </w:r>
    </w:p>
    <w:p w14:paraId="18FEF9B7" w14:textId="237062AF" w:rsidR="00D36060" w:rsidRPr="00AA3D89" w:rsidRDefault="00D36060" w:rsidP="00D36060">
      <w:pPr>
        <w:pStyle w:val="BodyText"/>
      </w:pPr>
      <w:r w:rsidRPr="000C7AA2">
        <w:t xml:space="preserve">For this reason, we have the right to impose a short-term trading charge if units are redeemed within 60 days of the date of purchase.  In determining whether such a fee is owing, units </w:t>
      </w:r>
      <w:r w:rsidRPr="00AA3D89">
        <w:t xml:space="preserve">purchased first will be deemed to be redeemed first.  Such fee would generally not be charged if the </w:t>
      </w:r>
      <w:r w:rsidRPr="0012299E">
        <w:t>reason for the early redemption was an unexpected change in personal or financial circumstances, or other legitimate reason, and was not part of a course of conduct of short-term trading.  Where we detect repeated short-term trading occurring by an investor, in addition to charging the short-term trading fee, we may decline to accept future purchase orders from that investor.  See “</w:t>
      </w:r>
      <w:r w:rsidRPr="0012299E">
        <w:rPr>
          <w:i/>
        </w:rPr>
        <w:t>Fees and Expenses – Fees and Expenses Payable Directly by Unitholders</w:t>
      </w:r>
      <w:r w:rsidRPr="0012299E">
        <w:t>”.</w:t>
      </w:r>
      <w:r w:rsidRPr="00AA3D89">
        <w:t xml:space="preserve"> </w:t>
      </w:r>
    </w:p>
    <w:p w14:paraId="08BE91E3" w14:textId="7EAD86F3" w:rsidR="00D36060" w:rsidRPr="00AA3D89" w:rsidRDefault="00D36060" w:rsidP="00D36060">
      <w:pPr>
        <w:pStyle w:val="Heading2"/>
      </w:pPr>
      <w:bookmarkStart w:id="52" w:name="_Toc133828642"/>
      <w:r w:rsidRPr="00AA3D89">
        <w:lastRenderedPageBreak/>
        <w:t xml:space="preserve">Non-resident </w:t>
      </w:r>
      <w:r w:rsidR="000C7AA2" w:rsidRPr="00AA3D89">
        <w:rPr>
          <w:lang w:val="en-US"/>
        </w:rPr>
        <w:t>Unitholders</w:t>
      </w:r>
      <w:bookmarkEnd w:id="52"/>
    </w:p>
    <w:p w14:paraId="11EF71FB" w14:textId="6470C493" w:rsidR="00D36060" w:rsidRPr="00AA3D89" w:rsidRDefault="00D36060" w:rsidP="00D36060">
      <w:pPr>
        <w:pStyle w:val="BodyText"/>
        <w:rPr>
          <w:lang w:val="x-none"/>
        </w:rPr>
      </w:pPr>
      <w:r w:rsidRPr="00AA3D89">
        <w:rPr>
          <w:lang w:val="x-none"/>
        </w:rPr>
        <w:t>At no time may: (i) non-residents of Canada; (ii) partnerships that are not Canadian partnerships; or (iii) a</w:t>
      </w:r>
      <w:r w:rsidRPr="00AA3D89">
        <w:rPr>
          <w:lang w:val="en-US"/>
        </w:rPr>
        <w:t xml:space="preserve"> </w:t>
      </w:r>
      <w:r w:rsidRPr="00AA3D89">
        <w:rPr>
          <w:lang w:val="x-none"/>
        </w:rPr>
        <w:t>combination of non-residents of Canada and such partnerships (all as defined in the Tax Act), be the</w:t>
      </w:r>
      <w:r w:rsidRPr="00AA3D89">
        <w:rPr>
          <w:lang w:val="en-US"/>
        </w:rPr>
        <w:t xml:space="preserve"> </w:t>
      </w:r>
      <w:r w:rsidRPr="00AA3D89">
        <w:rPr>
          <w:lang w:val="x-none"/>
        </w:rPr>
        <w:t xml:space="preserve">beneficial owners of a majority of the </w:t>
      </w:r>
      <w:r w:rsidRPr="00AA3D89">
        <w:rPr>
          <w:lang w:val="en-US"/>
        </w:rPr>
        <w:t>u</w:t>
      </w:r>
      <w:r w:rsidRPr="00AA3D89">
        <w:rPr>
          <w:lang w:val="x-none"/>
        </w:rPr>
        <w:t xml:space="preserve">nits of </w:t>
      </w:r>
      <w:r w:rsidRPr="00AA3D89">
        <w:rPr>
          <w:lang w:val="en-US"/>
        </w:rPr>
        <w:t>the F</w:t>
      </w:r>
      <w:r w:rsidRPr="00AA3D89">
        <w:rPr>
          <w:lang w:val="x-none"/>
        </w:rPr>
        <w:t xml:space="preserve">und (on a number of </w:t>
      </w:r>
      <w:r w:rsidRPr="00AA3D89">
        <w:rPr>
          <w:lang w:val="en-US"/>
        </w:rPr>
        <w:t>u</w:t>
      </w:r>
      <w:r w:rsidRPr="00AA3D89">
        <w:rPr>
          <w:lang w:val="x-none"/>
        </w:rPr>
        <w:t xml:space="preserve">nits or fair market value basis).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 xml:space="preserve">may require declarations as to the jurisdictions in which a beneficial owner of </w:t>
      </w:r>
      <w:r w:rsidRPr="00AA3D89">
        <w:rPr>
          <w:lang w:val="en-US"/>
        </w:rPr>
        <w:t>u</w:t>
      </w:r>
      <w:r w:rsidRPr="00AA3D89">
        <w:rPr>
          <w:lang w:val="x-none"/>
        </w:rPr>
        <w:t>nits is resident</w:t>
      </w:r>
      <w:r w:rsidRPr="00AA3D89">
        <w:rPr>
          <w:lang w:val="en-US"/>
        </w:rPr>
        <w:t xml:space="preserve"> </w:t>
      </w:r>
      <w:r w:rsidRPr="00AA3D89">
        <w:rPr>
          <w:lang w:val="x-none"/>
        </w:rPr>
        <w:t xml:space="preserve">and, if a partnership, its status as a Canadian partnership. If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becomes aware, as a result of</w:t>
      </w:r>
      <w:r w:rsidRPr="00AA3D89">
        <w:rPr>
          <w:lang w:val="en-US"/>
        </w:rPr>
        <w:t xml:space="preserve"> </w:t>
      </w:r>
      <w:r w:rsidRPr="00AA3D89">
        <w:rPr>
          <w:lang w:val="x-none"/>
        </w:rPr>
        <w:t>requiring such declarations as to beneficial ownership or otherwise, that the beneficial owners of 40% of</w:t>
      </w:r>
      <w:r w:rsidRPr="00AA3D89">
        <w:rPr>
          <w:lang w:val="en-US"/>
        </w:rPr>
        <w:t xml:space="preserve"> </w:t>
      </w:r>
      <w:r w:rsidRPr="00AA3D89">
        <w:rPr>
          <w:lang w:val="x-none"/>
        </w:rPr>
        <w:t xml:space="preserve">the </w:t>
      </w:r>
      <w:r w:rsidRPr="00AA3D89">
        <w:rPr>
          <w:lang w:val="en-US"/>
        </w:rPr>
        <w:t>u</w:t>
      </w:r>
      <w:r w:rsidRPr="00AA3D89">
        <w:rPr>
          <w:lang w:val="x-none"/>
        </w:rPr>
        <w:t xml:space="preserve">nits of </w:t>
      </w:r>
      <w:r w:rsidRPr="00AA3D89">
        <w:rPr>
          <w:lang w:val="en-US"/>
        </w:rPr>
        <w:t>the F</w:t>
      </w:r>
      <w:r w:rsidRPr="00AA3D89">
        <w:rPr>
          <w:lang w:val="x-none"/>
        </w:rPr>
        <w:t xml:space="preserve">und (on a number of </w:t>
      </w:r>
      <w:r w:rsidRPr="00AA3D89">
        <w:rPr>
          <w:lang w:val="en-US"/>
        </w:rPr>
        <w:t>u</w:t>
      </w:r>
      <w:r w:rsidRPr="00AA3D89">
        <w:rPr>
          <w:lang w:val="x-none"/>
        </w:rPr>
        <w:t>nits or fair market value basis) then outstanding are, or may be,</w:t>
      </w:r>
      <w:r w:rsidRPr="00AA3D89">
        <w:rPr>
          <w:lang w:val="en-US"/>
        </w:rPr>
        <w:t xml:space="preserve"> </w:t>
      </w:r>
      <w:r w:rsidRPr="00AA3D89">
        <w:rPr>
          <w:lang w:val="x-none"/>
        </w:rPr>
        <w:t>non-residents and/or partnerships that are not Canadian partnerships, or that such a situation is imminent,</w:t>
      </w:r>
      <w:r w:rsidRPr="00AA3D89">
        <w:rPr>
          <w:lang w:val="en-US"/>
        </w:rPr>
        <w:t xml:space="preserve">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 xml:space="preserve">may make a public announcement thereof. If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determines that more than 40% of</w:t>
      </w:r>
      <w:r w:rsidRPr="00AA3D89">
        <w:rPr>
          <w:lang w:val="en-US"/>
        </w:rPr>
        <w:t xml:space="preserve"> </w:t>
      </w:r>
      <w:r w:rsidRPr="00AA3D89">
        <w:rPr>
          <w:lang w:val="x-none"/>
        </w:rPr>
        <w:t xml:space="preserve">such </w:t>
      </w:r>
      <w:r w:rsidRPr="00AA3D89">
        <w:rPr>
          <w:lang w:val="en-US"/>
        </w:rPr>
        <w:t>u</w:t>
      </w:r>
      <w:r w:rsidRPr="00AA3D89">
        <w:rPr>
          <w:lang w:val="x-none"/>
        </w:rPr>
        <w:t xml:space="preserve">nits (on a number of </w:t>
      </w:r>
      <w:r w:rsidRPr="00AA3D89">
        <w:rPr>
          <w:lang w:val="en-US"/>
        </w:rPr>
        <w:t>u</w:t>
      </w:r>
      <w:r w:rsidRPr="00AA3D89">
        <w:rPr>
          <w:lang w:val="x-none"/>
        </w:rPr>
        <w:t>nits or fair market value basis) are beneficially held by non-residents and/or</w:t>
      </w:r>
      <w:r w:rsidRPr="00AA3D89">
        <w:rPr>
          <w:lang w:val="en-US"/>
        </w:rPr>
        <w:t xml:space="preserve"> </w:t>
      </w:r>
      <w:r w:rsidRPr="00AA3D89">
        <w:rPr>
          <w:lang w:val="x-none"/>
        </w:rPr>
        <w:t xml:space="preserve">partnerships that are not Canadian partnerships,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may send a notice to such non-resident</w:t>
      </w:r>
      <w:r w:rsidRPr="00AA3D89">
        <w:rPr>
          <w:lang w:val="en-US"/>
        </w:rPr>
        <w:t xml:space="preserve"> </w:t>
      </w:r>
      <w:r w:rsidR="00F70941">
        <w:rPr>
          <w:lang w:val="en-US"/>
        </w:rPr>
        <w:t>Unitholders</w:t>
      </w:r>
      <w:r w:rsidRPr="00AA3D89">
        <w:rPr>
          <w:lang w:val="x-none"/>
        </w:rPr>
        <w:t xml:space="preserve"> and partnerships, chosen in inverse order to the order of acquisition or in such manner as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 xml:space="preserve">may consider equitable and practicable, requiring them to sell their </w:t>
      </w:r>
      <w:r w:rsidRPr="00AA3D89">
        <w:rPr>
          <w:lang w:val="en-US"/>
        </w:rPr>
        <w:t>u</w:t>
      </w:r>
      <w:r w:rsidRPr="00AA3D89">
        <w:rPr>
          <w:lang w:val="x-none"/>
        </w:rPr>
        <w:t>nits or a portion thereof</w:t>
      </w:r>
      <w:r w:rsidRPr="00AA3D89">
        <w:rPr>
          <w:lang w:val="en-US"/>
        </w:rPr>
        <w:t xml:space="preserve"> </w:t>
      </w:r>
      <w:r w:rsidRPr="00AA3D89">
        <w:rPr>
          <w:lang w:val="x-none"/>
        </w:rPr>
        <w:t xml:space="preserve">within a specified period of not less than 30 days. If the </w:t>
      </w:r>
      <w:r w:rsidR="00F70941">
        <w:rPr>
          <w:lang w:val="en-US"/>
        </w:rPr>
        <w:t>Unitholders</w:t>
      </w:r>
      <w:r w:rsidR="00F70941" w:rsidRPr="00AA3D89">
        <w:rPr>
          <w:lang w:val="x-none"/>
        </w:rPr>
        <w:t xml:space="preserve"> </w:t>
      </w:r>
      <w:r w:rsidRPr="00AA3D89">
        <w:rPr>
          <w:lang w:val="x-none"/>
        </w:rPr>
        <w:t>receiving such notice have not sold the</w:t>
      </w:r>
      <w:r w:rsidRPr="00AA3D89">
        <w:rPr>
          <w:lang w:val="en-US"/>
        </w:rPr>
        <w:t xml:space="preserve"> </w:t>
      </w:r>
      <w:r w:rsidRPr="00AA3D89">
        <w:rPr>
          <w:lang w:val="x-none"/>
        </w:rPr>
        <w:t xml:space="preserve">specified number of </w:t>
      </w:r>
      <w:r w:rsidRPr="00AA3D89">
        <w:rPr>
          <w:lang w:val="en-US"/>
        </w:rPr>
        <w:t>u</w:t>
      </w:r>
      <w:r w:rsidRPr="00AA3D89">
        <w:rPr>
          <w:lang w:val="x-none"/>
        </w:rPr>
        <w:t xml:space="preserve">nits or provided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with satisfactory evidence that they are not</w:t>
      </w:r>
      <w:r w:rsidRPr="00AA3D89">
        <w:rPr>
          <w:lang w:val="en-US"/>
        </w:rPr>
        <w:t xml:space="preserve"> </w:t>
      </w:r>
      <w:r w:rsidRPr="00AA3D89">
        <w:rPr>
          <w:lang w:val="x-none"/>
        </w:rPr>
        <w:t xml:space="preserve">non-residents or partnerships other than Canadian partnerships within such period,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may on</w:t>
      </w:r>
      <w:r w:rsidRPr="00AA3D89">
        <w:rPr>
          <w:lang w:val="en-US"/>
        </w:rPr>
        <w:t xml:space="preserve"> </w:t>
      </w:r>
      <w:r w:rsidRPr="00AA3D89">
        <w:rPr>
          <w:lang w:val="x-none"/>
        </w:rPr>
        <w:t xml:space="preserve">behalf of such </w:t>
      </w:r>
      <w:r w:rsidR="00F70941">
        <w:rPr>
          <w:lang w:val="en-US"/>
        </w:rPr>
        <w:t>Unitholders</w:t>
      </w:r>
      <w:r w:rsidR="00F70941" w:rsidRPr="00AA3D89">
        <w:rPr>
          <w:lang w:val="x-none"/>
        </w:rPr>
        <w:t xml:space="preserve"> </w:t>
      </w:r>
      <w:r w:rsidRPr="00AA3D89">
        <w:rPr>
          <w:lang w:val="x-none"/>
        </w:rPr>
        <w:t xml:space="preserve">sell such </w:t>
      </w:r>
      <w:r w:rsidRPr="00AA3D89">
        <w:rPr>
          <w:lang w:val="en-US"/>
        </w:rPr>
        <w:t>u</w:t>
      </w:r>
      <w:r w:rsidRPr="00AA3D89">
        <w:rPr>
          <w:lang w:val="x-none"/>
        </w:rPr>
        <w:t>nits and, in the interim, shall suspend the voting and distribution</w:t>
      </w:r>
      <w:r w:rsidRPr="00AA3D89">
        <w:rPr>
          <w:lang w:val="en-US"/>
        </w:rPr>
        <w:t xml:space="preserve"> </w:t>
      </w:r>
      <w:r w:rsidRPr="00AA3D89">
        <w:rPr>
          <w:lang w:val="x-none"/>
        </w:rPr>
        <w:t xml:space="preserve">rights attached to such </w:t>
      </w:r>
      <w:r w:rsidRPr="00AA3D89">
        <w:rPr>
          <w:lang w:val="en-US"/>
        </w:rPr>
        <w:t>u</w:t>
      </w:r>
      <w:r w:rsidRPr="00AA3D89">
        <w:rPr>
          <w:lang w:val="x-none"/>
        </w:rPr>
        <w:t>nits. Upon such sale, the affected holders shall cease to be beneficial holders of</w:t>
      </w:r>
      <w:r w:rsidRPr="00AA3D89">
        <w:rPr>
          <w:lang w:val="en-US"/>
        </w:rPr>
        <w:t xml:space="preserve"> u</w:t>
      </w:r>
      <w:r w:rsidRPr="00AA3D89">
        <w:rPr>
          <w:lang w:val="x-none"/>
        </w:rPr>
        <w:t xml:space="preserve">nits and their rights shall be limited to receiving the net proceeds of sale of such </w:t>
      </w:r>
      <w:r w:rsidRPr="00AA3D89">
        <w:rPr>
          <w:lang w:val="en-US"/>
        </w:rPr>
        <w:t>u</w:t>
      </w:r>
      <w:r w:rsidRPr="00AA3D89">
        <w:rPr>
          <w:lang w:val="x-none"/>
        </w:rPr>
        <w:t>nits.</w:t>
      </w:r>
    </w:p>
    <w:p w14:paraId="29F46CB9" w14:textId="73AFD04A" w:rsidR="00D36060" w:rsidRPr="00FC3474" w:rsidRDefault="00D36060" w:rsidP="00D36060">
      <w:pPr>
        <w:pStyle w:val="BodyText"/>
        <w:rPr>
          <w:lang w:val="en-US"/>
        </w:rPr>
      </w:pPr>
      <w:r w:rsidRPr="00AA3D89">
        <w:rPr>
          <w:lang w:val="x-none"/>
        </w:rPr>
        <w:t xml:space="preserve">Notwithstanding the foregoing,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may determine not to take any of the actions described above</w:t>
      </w:r>
      <w:r w:rsidRPr="00AA3D89">
        <w:rPr>
          <w:lang w:val="en-US"/>
        </w:rPr>
        <w:t xml:space="preserve"> </w:t>
      </w:r>
      <w:r w:rsidRPr="00AA3D89">
        <w:rPr>
          <w:lang w:val="x-none"/>
        </w:rPr>
        <w:t xml:space="preserve">if </w:t>
      </w:r>
      <w:proofErr w:type="spellStart"/>
      <w:r w:rsidR="00012515" w:rsidRPr="00AA3D89">
        <w:rPr>
          <w:rFonts w:cstheme="minorHAnsi"/>
        </w:rPr>
        <w:t>Barrantagh</w:t>
      </w:r>
      <w:proofErr w:type="spellEnd"/>
      <w:r w:rsidR="00012515" w:rsidRPr="00AA3D89">
        <w:rPr>
          <w:rFonts w:cstheme="minorHAnsi"/>
        </w:rPr>
        <w:t xml:space="preserve"> </w:t>
      </w:r>
      <w:r w:rsidRPr="00AA3D89">
        <w:rPr>
          <w:lang w:val="x-none"/>
        </w:rPr>
        <w:t>has been advised by legal counsel that the failure to take any of such actions would not</w:t>
      </w:r>
      <w:r w:rsidRPr="00AA3D89">
        <w:rPr>
          <w:lang w:val="en-US"/>
        </w:rPr>
        <w:t xml:space="preserve"> </w:t>
      </w:r>
      <w:r w:rsidRPr="00AA3D89">
        <w:rPr>
          <w:lang w:val="x-none"/>
        </w:rPr>
        <w:t xml:space="preserve">adversely impact the status of </w:t>
      </w:r>
      <w:r w:rsidRPr="00AA3D89">
        <w:rPr>
          <w:lang w:val="en-US"/>
        </w:rPr>
        <w:t>the F</w:t>
      </w:r>
      <w:r w:rsidRPr="00AA3D89">
        <w:rPr>
          <w:lang w:val="x-none"/>
        </w:rPr>
        <w:t>und as a mutual fund trust for purposes of the Tax Act or, alternatively,</w:t>
      </w:r>
      <w:r w:rsidRPr="00AA3D89">
        <w:rPr>
          <w:lang w:val="en-US"/>
        </w:rPr>
        <w:t xml:space="preserve"> </w:t>
      </w:r>
      <w:r w:rsidRPr="00AA3D89">
        <w:rPr>
          <w:lang w:val="x-none"/>
        </w:rPr>
        <w:t xml:space="preserve">may take such other action or actions as may be necessary to maintain the status of </w:t>
      </w:r>
      <w:r w:rsidRPr="00AA3D89">
        <w:rPr>
          <w:lang w:val="en-US"/>
        </w:rPr>
        <w:t>the F</w:t>
      </w:r>
      <w:r w:rsidRPr="00AA3D89">
        <w:rPr>
          <w:lang w:val="x-none"/>
        </w:rPr>
        <w:t>und as a mutual</w:t>
      </w:r>
      <w:r w:rsidRPr="00AA3D89">
        <w:rPr>
          <w:lang w:val="en-US"/>
        </w:rPr>
        <w:t xml:space="preserve"> </w:t>
      </w:r>
      <w:r w:rsidRPr="00FC3474">
        <w:rPr>
          <w:lang w:val="x-none"/>
        </w:rPr>
        <w:t>fund trust for purposes of the Tax Act</w:t>
      </w:r>
      <w:r w:rsidR="00012515" w:rsidRPr="00FC3474">
        <w:rPr>
          <w:lang w:val="en-US"/>
        </w:rPr>
        <w:t>.</w:t>
      </w:r>
    </w:p>
    <w:p w14:paraId="7B2D6865" w14:textId="77777777" w:rsidR="00D36060" w:rsidRPr="00FC3474" w:rsidRDefault="00D36060" w:rsidP="00D36060">
      <w:pPr>
        <w:pStyle w:val="Heading1"/>
      </w:pPr>
      <w:bookmarkStart w:id="53" w:name="_Toc133828643"/>
      <w:r w:rsidRPr="00FC3474">
        <w:rPr>
          <w:rFonts w:eastAsiaTheme="minorHAnsi"/>
        </w:rPr>
        <w:t>Fees and Expenses</w:t>
      </w:r>
      <w:bookmarkEnd w:id="53"/>
    </w:p>
    <w:p w14:paraId="180AEDE5" w14:textId="77777777" w:rsidR="00D36060" w:rsidRPr="00FC3474" w:rsidRDefault="00D36060" w:rsidP="00D36060">
      <w:pPr>
        <w:pStyle w:val="BodyText"/>
      </w:pPr>
      <w:r w:rsidRPr="00FC3474">
        <w:t xml:space="preserve">The table below lists the fees and expenses </w:t>
      </w:r>
      <w:bookmarkStart w:id="54" w:name="_Hlk66134042"/>
      <w:r w:rsidRPr="00FC3474">
        <w:t xml:space="preserve">that you may have to pay if you invest in the Fund. </w:t>
      </w:r>
      <w:bookmarkEnd w:id="54"/>
      <w:r w:rsidRPr="00FC3474">
        <w:t>The Fund will pay some of these fees and expenses directly, which reduce the value of your investment in the Fund.  You may also pay some of these fees and expenses directly.</w:t>
      </w:r>
    </w:p>
    <w:p w14:paraId="76551FC3" w14:textId="40BC598F" w:rsidR="00D36060" w:rsidRPr="00AD791B" w:rsidRDefault="00D36060" w:rsidP="00D36060">
      <w:pPr>
        <w:pStyle w:val="Heading2"/>
      </w:pPr>
      <w:bookmarkStart w:id="55" w:name="_Toc531895543"/>
      <w:bookmarkStart w:id="56" w:name="_Toc531895621"/>
      <w:bookmarkStart w:id="57" w:name="_Toc531896282"/>
      <w:bookmarkStart w:id="58" w:name="_Toc133828644"/>
      <w:r w:rsidRPr="00AD791B">
        <w:rPr>
          <w:rFonts w:eastAsiaTheme="minorHAnsi"/>
        </w:rPr>
        <w:t xml:space="preserve">Fees </w:t>
      </w:r>
      <w:r w:rsidR="006541E9">
        <w:rPr>
          <w:rFonts w:eastAsiaTheme="minorHAnsi"/>
        </w:rPr>
        <w:t>and</w:t>
      </w:r>
      <w:r w:rsidR="006541E9" w:rsidRPr="00AD791B">
        <w:rPr>
          <w:rFonts w:eastAsiaTheme="minorHAnsi"/>
        </w:rPr>
        <w:t xml:space="preserve"> Expenses Payable </w:t>
      </w:r>
      <w:r w:rsidR="006541E9">
        <w:rPr>
          <w:rFonts w:eastAsiaTheme="minorHAnsi"/>
        </w:rPr>
        <w:t>by</w:t>
      </w:r>
      <w:r w:rsidR="006541E9" w:rsidRPr="00AD791B">
        <w:rPr>
          <w:rFonts w:eastAsiaTheme="minorHAnsi"/>
        </w:rPr>
        <w:t xml:space="preserve"> </w:t>
      </w:r>
      <w:r w:rsidR="006541E9">
        <w:rPr>
          <w:rFonts w:eastAsiaTheme="minorHAnsi"/>
        </w:rPr>
        <w:t>the</w:t>
      </w:r>
      <w:r w:rsidR="006541E9" w:rsidRPr="00AD791B">
        <w:rPr>
          <w:rFonts w:eastAsiaTheme="minorHAnsi"/>
        </w:rPr>
        <w:t xml:space="preserve"> </w:t>
      </w:r>
      <w:r w:rsidRPr="00AD791B">
        <w:rPr>
          <w:rFonts w:eastAsiaTheme="minorHAnsi"/>
        </w:rPr>
        <w:t>Fund</w:t>
      </w:r>
      <w:bookmarkEnd w:id="55"/>
      <w:bookmarkEnd w:id="56"/>
      <w:bookmarkEnd w:id="57"/>
      <w:bookmarkEnd w:id="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AD791B" w:rsidRPr="00AD791B" w14:paraId="53ACA7D1" w14:textId="77777777" w:rsidTr="0054024B">
        <w:tc>
          <w:tcPr>
            <w:tcW w:w="2245" w:type="dxa"/>
          </w:tcPr>
          <w:p w14:paraId="3AB0772C" w14:textId="77777777" w:rsidR="00D36060" w:rsidRPr="00AD791B" w:rsidRDefault="00D36060" w:rsidP="0054024B">
            <w:pPr>
              <w:pStyle w:val="BodyText"/>
            </w:pPr>
            <w:r w:rsidRPr="00AD791B">
              <w:t>Management fees:</w:t>
            </w:r>
          </w:p>
        </w:tc>
        <w:tc>
          <w:tcPr>
            <w:tcW w:w="7105" w:type="dxa"/>
          </w:tcPr>
          <w:p w14:paraId="1ED8AC3A" w14:textId="690A4B84" w:rsidR="00D36060" w:rsidRPr="00AD791B" w:rsidRDefault="00D36060" w:rsidP="0054024B">
            <w:pPr>
              <w:pStyle w:val="BodyText"/>
              <w:jc w:val="both"/>
            </w:pPr>
            <w:r w:rsidRPr="00AD791B">
              <w:t xml:space="preserve">We are entitled to an annual management fee for acting as the </w:t>
            </w:r>
            <w:r w:rsidR="00012515" w:rsidRPr="00AD791B">
              <w:t>man</w:t>
            </w:r>
            <w:r w:rsidR="003F2C33" w:rsidRPr="00AD791B">
              <w:t>a</w:t>
            </w:r>
            <w:r w:rsidR="00012515" w:rsidRPr="00AD791B">
              <w:t>ger</w:t>
            </w:r>
            <w:r w:rsidR="000C66F4" w:rsidRPr="00AD791B">
              <w:t xml:space="preserve"> o</w:t>
            </w:r>
            <w:r w:rsidRPr="00AD791B">
              <w:t>f the Fund.  The management fee covers fees for services we provide, or cause to be provided, to the Fund, including the investment management of the Fund, oversight of the service providers and general administration.  This list is not exhaustive.</w:t>
            </w:r>
          </w:p>
          <w:p w14:paraId="7953ED5B" w14:textId="77777777" w:rsidR="00D36060" w:rsidRPr="00AD791B" w:rsidRDefault="00D36060" w:rsidP="0054024B">
            <w:pPr>
              <w:pStyle w:val="BodyText"/>
              <w:jc w:val="both"/>
            </w:pPr>
            <w:r w:rsidRPr="00AD791B">
              <w:t>The management fee (including an amount equal to the trailing commission) in respect of Series A Units is paid by the Fund at a rate of 2% per annum of the Fund’s NAV attributable to the Series A Units calculated daily, based on the average daily NAV and payable monthly in arrears. We can increase this fee on not less than 60 days’ notice to holders of Series A Units.</w:t>
            </w:r>
          </w:p>
          <w:p w14:paraId="23C5B66B" w14:textId="77777777" w:rsidR="00D36060" w:rsidRPr="00AD791B" w:rsidRDefault="00D36060" w:rsidP="0054024B">
            <w:pPr>
              <w:pStyle w:val="BodyText"/>
              <w:jc w:val="both"/>
            </w:pPr>
            <w:r w:rsidRPr="00AD791B">
              <w:lastRenderedPageBreak/>
              <w:t>The management fee in respect of Series F Units is paid by the Fund at a rate of 1.00% per annum of the Fund’s NAV attributable to the Series F Units calculated daily, based on the average daily NAV and payable monthly in arrears.  We can increase this fee on not less than 60 days’ notice to holders of Series F Units.</w:t>
            </w:r>
          </w:p>
          <w:p w14:paraId="72F3F22C" w14:textId="2DC8F7EA" w:rsidR="00D36060" w:rsidRPr="00AD791B" w:rsidRDefault="00D36060" w:rsidP="0054024B">
            <w:pPr>
              <w:pStyle w:val="BodyText"/>
              <w:jc w:val="both"/>
            </w:pPr>
            <w:r w:rsidRPr="00AD791B">
              <w:t xml:space="preserve">The management fee in respect of Series O Units is negotiated between the </w:t>
            </w:r>
            <w:r w:rsidR="003F2C33" w:rsidRPr="00AD791B">
              <w:t>Unitholder</w:t>
            </w:r>
            <w:r w:rsidRPr="00AD791B">
              <w:t xml:space="preserve"> and </w:t>
            </w:r>
            <w:proofErr w:type="spellStart"/>
            <w:r w:rsidR="003F2C33" w:rsidRPr="00AD791B">
              <w:rPr>
                <w:rFonts w:cstheme="minorHAnsi"/>
              </w:rPr>
              <w:t>Barrantagh</w:t>
            </w:r>
            <w:proofErr w:type="spellEnd"/>
            <w:r w:rsidR="003F2C33" w:rsidRPr="00AD791B">
              <w:rPr>
                <w:rFonts w:cstheme="minorHAnsi"/>
                <w:szCs w:val="22"/>
              </w:rPr>
              <w:t xml:space="preserve"> </w:t>
            </w:r>
            <w:bookmarkStart w:id="59" w:name="_Hlk5809962"/>
            <w:r w:rsidRPr="00AD791B">
              <w:t>at maximum rates of up to 1.00% per annum of the Fund’s NAV attributable to the Series O Units calculated daily, based on the average daily NAV and payable either monthly or quarterly, and subject to review from time to time</w:t>
            </w:r>
            <w:bookmarkEnd w:id="59"/>
            <w:r w:rsidRPr="00AD791B">
              <w:t xml:space="preserve">. The management fee in respect of the Series O Units is not paid by the Fund but by the </w:t>
            </w:r>
            <w:r w:rsidR="004E187A">
              <w:t>U</w:t>
            </w:r>
            <w:r w:rsidRPr="00AD791B">
              <w:t>nitholder; see “</w:t>
            </w:r>
            <w:r w:rsidRPr="00AD791B">
              <w:rPr>
                <w:i/>
              </w:rPr>
              <w:t>Fees and Expenses Payable by Unitholders</w:t>
            </w:r>
            <w:r w:rsidRPr="00AD791B">
              <w:t>”. Series O investors should consult their own tax advisors regarding the tax treatment of management fees paid directly by the investor.</w:t>
            </w:r>
          </w:p>
          <w:p w14:paraId="139E70E2" w14:textId="77777777" w:rsidR="00D36060" w:rsidRPr="00AD791B" w:rsidRDefault="00D36060" w:rsidP="0054024B">
            <w:pPr>
              <w:pStyle w:val="BodyText"/>
              <w:jc w:val="both"/>
            </w:pPr>
            <w:r w:rsidRPr="00AD791B">
              <w:t xml:space="preserve">Management fees are subject to applicable taxes, including GST and HST. </w:t>
            </w:r>
          </w:p>
          <w:p w14:paraId="405D3AFC" w14:textId="18717549" w:rsidR="00D36060" w:rsidRPr="00AD791B" w:rsidRDefault="00D36060" w:rsidP="0054024B">
            <w:pPr>
              <w:pStyle w:val="BodyText"/>
              <w:jc w:val="both"/>
            </w:pPr>
            <w:bookmarkStart w:id="60" w:name="_Hlk66901179"/>
            <w:r w:rsidRPr="00AD791B">
              <w:t xml:space="preserve">We may choose to absorb or waive some of the management fees incurred by the Fund. However, we are not required to do so, and we may discontinue this practice at any time and without notice to </w:t>
            </w:r>
            <w:r w:rsidR="004E187A" w:rsidRPr="008B7600">
              <w:rPr>
                <w:rFonts w:cstheme="minorHAnsi"/>
                <w:szCs w:val="22"/>
                <w:lang w:val="en-US"/>
              </w:rPr>
              <w:t>Unitholders</w:t>
            </w:r>
            <w:r w:rsidRPr="00AD791B">
              <w:t>.</w:t>
            </w:r>
            <w:bookmarkEnd w:id="60"/>
          </w:p>
        </w:tc>
      </w:tr>
      <w:tr w:rsidR="00D36060" w:rsidRPr="00E64FFB" w14:paraId="334B5B41" w14:textId="77777777" w:rsidTr="0054024B">
        <w:tc>
          <w:tcPr>
            <w:tcW w:w="2245" w:type="dxa"/>
          </w:tcPr>
          <w:p w14:paraId="21AEE7B3" w14:textId="77777777" w:rsidR="00D36060" w:rsidRPr="003926A9" w:rsidRDefault="00D36060" w:rsidP="0054024B">
            <w:pPr>
              <w:pStyle w:val="BodyText"/>
            </w:pPr>
            <w:r w:rsidRPr="003926A9">
              <w:lastRenderedPageBreak/>
              <w:t>Operating expenses:</w:t>
            </w:r>
          </w:p>
        </w:tc>
        <w:tc>
          <w:tcPr>
            <w:tcW w:w="7105" w:type="dxa"/>
          </w:tcPr>
          <w:p w14:paraId="4DFB91A6" w14:textId="77777777" w:rsidR="00D36060" w:rsidRPr="003926A9" w:rsidRDefault="00D36060" w:rsidP="0054024B">
            <w:pPr>
              <w:pStyle w:val="BodyText"/>
              <w:jc w:val="both"/>
            </w:pPr>
            <w:r w:rsidRPr="003926A9">
              <w:t>The Fund pays its own operating expenses.  These expenses include audit and accounting fees, custodial expenses, accounting and recordkeeping costs, legal expenses, prospectus preparation and filing costs (other than the cost of preparing the initial prospectus for the Fund), and other day-to-day operating expenses.  The Fund also pays HST or GST (as applicable) on these expenses.</w:t>
            </w:r>
          </w:p>
          <w:p w14:paraId="470F5C0E" w14:textId="1E289372" w:rsidR="00D36060" w:rsidRPr="003926A9" w:rsidRDefault="00D36060" w:rsidP="0054024B">
            <w:pPr>
              <w:pStyle w:val="BodyText"/>
              <w:jc w:val="both"/>
            </w:pPr>
            <w:r w:rsidRPr="003926A9">
              <w:t>The Fund is also responsible for the fees and expenses of its Independent Review Committee (</w:t>
            </w:r>
            <w:r w:rsidR="00B97B87">
              <w:t>the “</w:t>
            </w:r>
            <w:r w:rsidRPr="003926A9">
              <w:rPr>
                <w:b/>
              </w:rPr>
              <w:t>IRC</w:t>
            </w:r>
            <w:r w:rsidR="00B97B87">
              <w:rPr>
                <w:bCs/>
              </w:rPr>
              <w:t>”</w:t>
            </w:r>
            <w:r w:rsidRPr="003926A9">
              <w:t xml:space="preserve">).  Each member of the IRC is </w:t>
            </w:r>
            <w:r w:rsidRPr="00BF3FC4">
              <w:t>paid $10,000 per annum and the Chairman is paid $15,000 per annum.</w:t>
            </w:r>
          </w:p>
        </w:tc>
      </w:tr>
    </w:tbl>
    <w:p w14:paraId="6CF8A21B" w14:textId="06A00B89" w:rsidR="00D36060" w:rsidRPr="00B46DBE" w:rsidRDefault="00D36060" w:rsidP="00D36060">
      <w:pPr>
        <w:pStyle w:val="Heading2"/>
        <w:spacing w:before="240"/>
      </w:pPr>
      <w:bookmarkStart w:id="61" w:name="_Toc531895544"/>
      <w:bookmarkStart w:id="62" w:name="_Toc531895622"/>
      <w:bookmarkStart w:id="63" w:name="_Toc531896283"/>
      <w:bookmarkStart w:id="64" w:name="_Toc133828645"/>
      <w:r w:rsidRPr="00B46DBE">
        <w:rPr>
          <w:rFonts w:eastAsiaTheme="minorHAnsi"/>
        </w:rPr>
        <w:t xml:space="preserve">Fees </w:t>
      </w:r>
      <w:r w:rsidR="00163FB4">
        <w:rPr>
          <w:rFonts w:eastAsiaTheme="minorHAnsi"/>
        </w:rPr>
        <w:t>and</w:t>
      </w:r>
      <w:r w:rsidR="00163FB4" w:rsidRPr="00B46DBE">
        <w:rPr>
          <w:rFonts w:eastAsiaTheme="minorHAnsi"/>
        </w:rPr>
        <w:t xml:space="preserve"> Expenses Payable Directly </w:t>
      </w:r>
      <w:r w:rsidR="00163FB4">
        <w:rPr>
          <w:rFonts w:eastAsiaTheme="minorHAnsi"/>
        </w:rPr>
        <w:t>by</w:t>
      </w:r>
      <w:r w:rsidR="00163FB4" w:rsidRPr="00B46DBE">
        <w:rPr>
          <w:rFonts w:eastAsiaTheme="minorHAnsi"/>
        </w:rPr>
        <w:t xml:space="preserve"> </w:t>
      </w:r>
      <w:r w:rsidRPr="00B46DBE">
        <w:rPr>
          <w:rFonts w:eastAsiaTheme="minorHAnsi"/>
        </w:rPr>
        <w:t>Unitholders</w:t>
      </w:r>
      <w:bookmarkEnd w:id="61"/>
      <w:bookmarkEnd w:id="62"/>
      <w:bookmarkEnd w:id="63"/>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B46DBE" w:rsidRPr="00B46DBE" w14:paraId="1B64F01C" w14:textId="77777777" w:rsidTr="0054024B">
        <w:tc>
          <w:tcPr>
            <w:tcW w:w="2245" w:type="dxa"/>
          </w:tcPr>
          <w:p w14:paraId="196FC951" w14:textId="77777777" w:rsidR="00D36060" w:rsidRPr="00B46DBE" w:rsidRDefault="00D36060" w:rsidP="0054024B">
            <w:pPr>
              <w:pStyle w:val="BodyText"/>
            </w:pPr>
            <w:r w:rsidRPr="00B46DBE">
              <w:t>Sales charges:</w:t>
            </w:r>
          </w:p>
        </w:tc>
        <w:tc>
          <w:tcPr>
            <w:tcW w:w="7105" w:type="dxa"/>
          </w:tcPr>
          <w:p w14:paraId="708AE44A" w14:textId="77777777" w:rsidR="00D36060" w:rsidRPr="00B46DBE" w:rsidRDefault="00D36060" w:rsidP="0054024B">
            <w:pPr>
              <w:pStyle w:val="BodyText"/>
            </w:pPr>
            <w:r w:rsidRPr="00B46DBE">
              <w:t>None.</w:t>
            </w:r>
          </w:p>
        </w:tc>
      </w:tr>
      <w:tr w:rsidR="00B46DBE" w:rsidRPr="00B46DBE" w14:paraId="3B76D466" w14:textId="77777777" w:rsidTr="0054024B">
        <w:tc>
          <w:tcPr>
            <w:tcW w:w="2245" w:type="dxa"/>
          </w:tcPr>
          <w:p w14:paraId="0A5C1427" w14:textId="77777777" w:rsidR="00D36060" w:rsidRPr="00B46DBE" w:rsidRDefault="00D36060" w:rsidP="0054024B">
            <w:pPr>
              <w:pStyle w:val="BodyText"/>
            </w:pPr>
            <w:r w:rsidRPr="00B46DBE">
              <w:t xml:space="preserve">Fee-Based Account Fee </w:t>
            </w:r>
          </w:p>
        </w:tc>
        <w:tc>
          <w:tcPr>
            <w:tcW w:w="7105" w:type="dxa"/>
          </w:tcPr>
          <w:p w14:paraId="097DD591" w14:textId="77777777" w:rsidR="00D36060" w:rsidRPr="00B46DBE" w:rsidRDefault="00D36060" w:rsidP="0054024B">
            <w:pPr>
              <w:pStyle w:val="BodyText"/>
              <w:jc w:val="both"/>
            </w:pPr>
            <w:r w:rsidRPr="00B46DBE">
              <w:t>Series F Units of the Fund are generally only open to investors who have fee-based accounts with authorized brokers or dealers. Series F investors may be charged an investment advisory fee by their broker or dealer. The amount of this advisory fee is negotiated between you and your broker or dealer.</w:t>
            </w:r>
          </w:p>
        </w:tc>
      </w:tr>
      <w:tr w:rsidR="00B46DBE" w:rsidRPr="00B46DBE" w14:paraId="4958AD8E" w14:textId="77777777" w:rsidTr="0054024B">
        <w:tc>
          <w:tcPr>
            <w:tcW w:w="2245" w:type="dxa"/>
          </w:tcPr>
          <w:p w14:paraId="58BF13C9" w14:textId="77777777" w:rsidR="00D36060" w:rsidRPr="00B46DBE" w:rsidRDefault="00D36060" w:rsidP="0054024B">
            <w:pPr>
              <w:pStyle w:val="BodyText"/>
            </w:pPr>
            <w:r w:rsidRPr="00B46DBE">
              <w:t>Management fees:</w:t>
            </w:r>
          </w:p>
        </w:tc>
        <w:tc>
          <w:tcPr>
            <w:tcW w:w="7105" w:type="dxa"/>
          </w:tcPr>
          <w:p w14:paraId="3566F1D8" w14:textId="77777777" w:rsidR="00D36060" w:rsidRPr="00B46DBE" w:rsidRDefault="00D36060" w:rsidP="0054024B">
            <w:pPr>
              <w:pStyle w:val="BodyText"/>
              <w:jc w:val="both"/>
            </w:pPr>
            <w:r w:rsidRPr="00B46DBE">
              <w:t xml:space="preserve">Investors purchasing Series O Units must enter into an agreement with us or must purchase directly from a dealer who has entered into a Series O Units distribution agreement with us, pursuant to which a management fee, at a rate to be negotiated with us, is payable to us at </w:t>
            </w:r>
            <w:r w:rsidRPr="00B46DBE">
              <w:lastRenderedPageBreak/>
              <w:t xml:space="preserve">maximum rates of up to 1.00% per annum of the Fund’s NAV attributable to the Series O Units calculated daily, based on the average daily NAV and payable either monthly or quarterly, and subject to review from time to time.  Payment is made through an automatic redemption of a sufficient number of Series O Units each month to pay the management fees owing. </w:t>
            </w:r>
          </w:p>
        </w:tc>
      </w:tr>
      <w:tr w:rsidR="00B46DBE" w:rsidRPr="00B46DBE" w14:paraId="5DAC7DDD" w14:textId="77777777" w:rsidTr="0054024B">
        <w:tc>
          <w:tcPr>
            <w:tcW w:w="2245" w:type="dxa"/>
          </w:tcPr>
          <w:p w14:paraId="6A07025D" w14:textId="77777777" w:rsidR="00D36060" w:rsidRPr="00B46DBE" w:rsidRDefault="00D36060" w:rsidP="0054024B">
            <w:pPr>
              <w:pStyle w:val="BodyText"/>
            </w:pPr>
            <w:r w:rsidRPr="00B46DBE">
              <w:lastRenderedPageBreak/>
              <w:t>Switch fees:</w:t>
            </w:r>
          </w:p>
        </w:tc>
        <w:tc>
          <w:tcPr>
            <w:tcW w:w="7105" w:type="dxa"/>
          </w:tcPr>
          <w:p w14:paraId="29F2AB90" w14:textId="77777777" w:rsidR="00D36060" w:rsidRPr="00B46DBE" w:rsidRDefault="00D36060" w:rsidP="0054024B">
            <w:pPr>
              <w:pStyle w:val="BodyText"/>
            </w:pPr>
            <w:r w:rsidRPr="00B46DBE">
              <w:t>Not applicable.</w:t>
            </w:r>
          </w:p>
        </w:tc>
      </w:tr>
      <w:tr w:rsidR="00B46DBE" w:rsidRPr="00B46DBE" w14:paraId="03278C00" w14:textId="77777777" w:rsidTr="0054024B">
        <w:tc>
          <w:tcPr>
            <w:tcW w:w="2245" w:type="dxa"/>
          </w:tcPr>
          <w:p w14:paraId="3D657D39" w14:textId="77777777" w:rsidR="00D36060" w:rsidRPr="00B46DBE" w:rsidRDefault="00D36060" w:rsidP="0054024B">
            <w:pPr>
              <w:pStyle w:val="BodyText"/>
            </w:pPr>
            <w:r w:rsidRPr="00B46DBE">
              <w:t>Redemption fees:</w:t>
            </w:r>
          </w:p>
        </w:tc>
        <w:tc>
          <w:tcPr>
            <w:tcW w:w="7105" w:type="dxa"/>
          </w:tcPr>
          <w:p w14:paraId="7981C9CC" w14:textId="77777777" w:rsidR="00D36060" w:rsidRPr="00B46DBE" w:rsidRDefault="00D36060" w:rsidP="0054024B">
            <w:pPr>
              <w:pStyle w:val="BodyText"/>
            </w:pPr>
            <w:r w:rsidRPr="00B46DBE">
              <w:t>None.</w:t>
            </w:r>
          </w:p>
        </w:tc>
      </w:tr>
      <w:tr w:rsidR="00187DFA" w:rsidRPr="00187DFA" w14:paraId="5916788C" w14:textId="77777777" w:rsidTr="0054024B">
        <w:tc>
          <w:tcPr>
            <w:tcW w:w="2245" w:type="dxa"/>
          </w:tcPr>
          <w:p w14:paraId="1F329D44" w14:textId="77777777" w:rsidR="00D36060" w:rsidRPr="00187DFA" w:rsidRDefault="00D36060" w:rsidP="0054024B">
            <w:pPr>
              <w:pStyle w:val="BodyText"/>
            </w:pPr>
            <w:r w:rsidRPr="00187DFA">
              <w:t>Short-term trading fees:</w:t>
            </w:r>
          </w:p>
        </w:tc>
        <w:tc>
          <w:tcPr>
            <w:tcW w:w="7105" w:type="dxa"/>
          </w:tcPr>
          <w:p w14:paraId="73C7F532" w14:textId="77777777" w:rsidR="00D36060" w:rsidRPr="00187DFA" w:rsidRDefault="00D36060" w:rsidP="0054024B">
            <w:pPr>
              <w:pStyle w:val="BodyText"/>
              <w:jc w:val="both"/>
            </w:pPr>
            <w:r w:rsidRPr="00187DFA">
              <w:t>The Fund may charge a short-term trading fee if you redeem your units within 60 days of the date of purchase in an amount of up to 2% of the NAV of the redeemed units.</w:t>
            </w:r>
          </w:p>
        </w:tc>
      </w:tr>
    </w:tbl>
    <w:p w14:paraId="4E1B7697" w14:textId="77777777" w:rsidR="00D36060" w:rsidRPr="00187DFA" w:rsidRDefault="00D36060" w:rsidP="00D36060">
      <w:pPr>
        <w:pStyle w:val="Heading2"/>
        <w:spacing w:before="240"/>
      </w:pPr>
      <w:bookmarkStart w:id="65" w:name="_Toc531895545"/>
      <w:bookmarkStart w:id="66" w:name="_Toc531895623"/>
      <w:bookmarkStart w:id="67" w:name="_Toc531896284"/>
      <w:bookmarkStart w:id="68" w:name="_Toc133828646"/>
      <w:r w:rsidRPr="00187DFA">
        <w:rPr>
          <w:rFonts w:eastAsiaTheme="minorHAnsi"/>
        </w:rPr>
        <w:t>Impact of Sales Charges</w:t>
      </w:r>
      <w:bookmarkEnd w:id="65"/>
      <w:bookmarkEnd w:id="66"/>
      <w:bookmarkEnd w:id="67"/>
      <w:bookmarkEnd w:id="68"/>
    </w:p>
    <w:p w14:paraId="0EA14FA2" w14:textId="77777777" w:rsidR="00D36060" w:rsidRPr="00187DFA" w:rsidRDefault="00D36060" w:rsidP="00D36060">
      <w:pPr>
        <w:pStyle w:val="BodyText"/>
      </w:pPr>
      <w:r w:rsidRPr="00187DFA">
        <w:t>The following table shows the amount of fees that you would have to pay if you made an investment of $1,000 in the Fund, and if you held that investment in the Fund for one, three, five or 10 years and redeemed your units immediately before the end of each of those periods.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710"/>
        <w:gridCol w:w="1530"/>
        <w:gridCol w:w="1440"/>
        <w:gridCol w:w="1473"/>
        <w:gridCol w:w="1559"/>
      </w:tblGrid>
      <w:tr w:rsidR="00187DFA" w:rsidRPr="00187DFA" w14:paraId="3B74B642" w14:textId="77777777" w:rsidTr="0054024B">
        <w:tc>
          <w:tcPr>
            <w:tcW w:w="1638" w:type="dxa"/>
          </w:tcPr>
          <w:p w14:paraId="5D78A5FC" w14:textId="77777777" w:rsidR="00D36060" w:rsidRPr="00187DFA" w:rsidRDefault="00D36060" w:rsidP="0054024B">
            <w:pPr>
              <w:pStyle w:val="BodyText"/>
              <w:spacing w:before="120" w:after="120"/>
              <w:rPr>
                <w:b/>
              </w:rPr>
            </w:pPr>
          </w:p>
        </w:tc>
        <w:tc>
          <w:tcPr>
            <w:tcW w:w="1710" w:type="dxa"/>
          </w:tcPr>
          <w:p w14:paraId="78848DDC" w14:textId="77777777" w:rsidR="00D36060" w:rsidRPr="00187DFA" w:rsidRDefault="00D36060" w:rsidP="0054024B">
            <w:pPr>
              <w:pStyle w:val="BodyText"/>
              <w:spacing w:before="120" w:after="120"/>
              <w:jc w:val="center"/>
              <w:rPr>
                <w:b/>
              </w:rPr>
            </w:pPr>
            <w:r w:rsidRPr="00187DFA">
              <w:rPr>
                <w:b/>
              </w:rPr>
              <w:t>At the time of purchase</w:t>
            </w:r>
          </w:p>
        </w:tc>
        <w:tc>
          <w:tcPr>
            <w:tcW w:w="1530" w:type="dxa"/>
          </w:tcPr>
          <w:p w14:paraId="10431E8C" w14:textId="77777777" w:rsidR="00D36060" w:rsidRPr="00187DFA" w:rsidRDefault="00D36060" w:rsidP="0054024B">
            <w:pPr>
              <w:pStyle w:val="BodyText"/>
              <w:spacing w:before="120" w:after="120"/>
              <w:jc w:val="center"/>
              <w:rPr>
                <w:b/>
              </w:rPr>
            </w:pPr>
            <w:r w:rsidRPr="00187DFA">
              <w:rPr>
                <w:b/>
              </w:rPr>
              <w:t>1 year</w:t>
            </w:r>
          </w:p>
        </w:tc>
        <w:tc>
          <w:tcPr>
            <w:tcW w:w="1440" w:type="dxa"/>
          </w:tcPr>
          <w:p w14:paraId="79F78A71" w14:textId="77777777" w:rsidR="00D36060" w:rsidRPr="00187DFA" w:rsidRDefault="00D36060" w:rsidP="0054024B">
            <w:pPr>
              <w:pStyle w:val="BodyText"/>
              <w:spacing w:before="120" w:after="120"/>
              <w:jc w:val="center"/>
              <w:rPr>
                <w:b/>
              </w:rPr>
            </w:pPr>
            <w:r w:rsidRPr="00187DFA">
              <w:rPr>
                <w:b/>
              </w:rPr>
              <w:t>3 years</w:t>
            </w:r>
          </w:p>
        </w:tc>
        <w:tc>
          <w:tcPr>
            <w:tcW w:w="1473" w:type="dxa"/>
          </w:tcPr>
          <w:p w14:paraId="288709FD" w14:textId="77777777" w:rsidR="00D36060" w:rsidRPr="00187DFA" w:rsidRDefault="00D36060" w:rsidP="0054024B">
            <w:pPr>
              <w:pStyle w:val="BodyText"/>
              <w:spacing w:before="120" w:after="120"/>
              <w:jc w:val="center"/>
              <w:rPr>
                <w:b/>
              </w:rPr>
            </w:pPr>
            <w:r w:rsidRPr="00187DFA">
              <w:rPr>
                <w:b/>
              </w:rPr>
              <w:t>5 years</w:t>
            </w:r>
          </w:p>
        </w:tc>
        <w:tc>
          <w:tcPr>
            <w:tcW w:w="1559" w:type="dxa"/>
          </w:tcPr>
          <w:p w14:paraId="5F96E8FA" w14:textId="77777777" w:rsidR="00D36060" w:rsidRPr="00187DFA" w:rsidRDefault="00D36060" w:rsidP="0054024B">
            <w:pPr>
              <w:pStyle w:val="BodyText"/>
              <w:spacing w:before="120" w:after="120"/>
              <w:jc w:val="center"/>
              <w:rPr>
                <w:b/>
              </w:rPr>
            </w:pPr>
            <w:r w:rsidRPr="00187DFA">
              <w:rPr>
                <w:b/>
              </w:rPr>
              <w:t>10 years</w:t>
            </w:r>
          </w:p>
        </w:tc>
      </w:tr>
      <w:tr w:rsidR="00187DFA" w:rsidRPr="00187DFA" w14:paraId="5DDF64FD" w14:textId="77777777" w:rsidTr="0054024B">
        <w:tc>
          <w:tcPr>
            <w:tcW w:w="1638" w:type="dxa"/>
          </w:tcPr>
          <w:p w14:paraId="0780C9FD" w14:textId="77777777" w:rsidR="00D36060" w:rsidRPr="00187DFA" w:rsidRDefault="00D36060" w:rsidP="0054024B">
            <w:pPr>
              <w:pStyle w:val="BodyText"/>
              <w:spacing w:before="120" w:after="120"/>
            </w:pPr>
            <w:r w:rsidRPr="00187DFA">
              <w:t>Series A Units</w:t>
            </w:r>
          </w:p>
        </w:tc>
        <w:tc>
          <w:tcPr>
            <w:tcW w:w="1710" w:type="dxa"/>
          </w:tcPr>
          <w:p w14:paraId="72D19160" w14:textId="77777777" w:rsidR="00D36060" w:rsidRPr="00187DFA" w:rsidRDefault="00D36060" w:rsidP="0054024B">
            <w:pPr>
              <w:pStyle w:val="BodyText"/>
              <w:spacing w:before="120" w:after="120"/>
              <w:jc w:val="center"/>
            </w:pPr>
            <w:r w:rsidRPr="00187DFA">
              <w:t>Nil</w:t>
            </w:r>
          </w:p>
        </w:tc>
        <w:tc>
          <w:tcPr>
            <w:tcW w:w="1530" w:type="dxa"/>
          </w:tcPr>
          <w:p w14:paraId="6CC2FEFE" w14:textId="77777777" w:rsidR="00D36060" w:rsidRPr="00187DFA" w:rsidRDefault="00D36060" w:rsidP="0054024B">
            <w:pPr>
              <w:spacing w:before="120" w:after="120"/>
              <w:jc w:val="center"/>
            </w:pPr>
            <w:r w:rsidRPr="00187DFA">
              <w:t>Nil</w:t>
            </w:r>
          </w:p>
        </w:tc>
        <w:tc>
          <w:tcPr>
            <w:tcW w:w="1440" w:type="dxa"/>
          </w:tcPr>
          <w:p w14:paraId="0FBD3E81" w14:textId="77777777" w:rsidR="00D36060" w:rsidRPr="00187DFA" w:rsidRDefault="00D36060" w:rsidP="0054024B">
            <w:pPr>
              <w:spacing w:before="120" w:after="120"/>
              <w:jc w:val="center"/>
            </w:pPr>
            <w:r w:rsidRPr="00187DFA">
              <w:t>Nil</w:t>
            </w:r>
          </w:p>
        </w:tc>
        <w:tc>
          <w:tcPr>
            <w:tcW w:w="1473" w:type="dxa"/>
          </w:tcPr>
          <w:p w14:paraId="6A138173" w14:textId="77777777" w:rsidR="00D36060" w:rsidRPr="00187DFA" w:rsidRDefault="00D36060" w:rsidP="0054024B">
            <w:pPr>
              <w:spacing w:before="120" w:after="120"/>
              <w:jc w:val="center"/>
            </w:pPr>
            <w:r w:rsidRPr="00187DFA">
              <w:t>Nil</w:t>
            </w:r>
          </w:p>
        </w:tc>
        <w:tc>
          <w:tcPr>
            <w:tcW w:w="1559" w:type="dxa"/>
          </w:tcPr>
          <w:p w14:paraId="095A0786" w14:textId="77777777" w:rsidR="00D36060" w:rsidRPr="00187DFA" w:rsidRDefault="00D36060" w:rsidP="0054024B">
            <w:pPr>
              <w:spacing w:before="120" w:after="120"/>
              <w:jc w:val="center"/>
            </w:pPr>
            <w:r w:rsidRPr="00187DFA">
              <w:t>Nil</w:t>
            </w:r>
          </w:p>
        </w:tc>
      </w:tr>
      <w:tr w:rsidR="00187DFA" w:rsidRPr="00187DFA" w14:paraId="3C7E26DA" w14:textId="77777777" w:rsidTr="0054024B">
        <w:tc>
          <w:tcPr>
            <w:tcW w:w="1638" w:type="dxa"/>
          </w:tcPr>
          <w:p w14:paraId="5E32186C" w14:textId="77777777" w:rsidR="00D36060" w:rsidRPr="00187DFA" w:rsidRDefault="00D36060" w:rsidP="0054024B">
            <w:pPr>
              <w:pStyle w:val="BodyText"/>
              <w:spacing w:before="120" w:after="120"/>
            </w:pPr>
            <w:r w:rsidRPr="00187DFA">
              <w:t>Series F Units</w:t>
            </w:r>
          </w:p>
        </w:tc>
        <w:tc>
          <w:tcPr>
            <w:tcW w:w="1710" w:type="dxa"/>
          </w:tcPr>
          <w:p w14:paraId="42DFD142" w14:textId="77777777" w:rsidR="00D36060" w:rsidRPr="00187DFA" w:rsidRDefault="00D36060" w:rsidP="0054024B">
            <w:pPr>
              <w:pStyle w:val="BodyText"/>
              <w:spacing w:before="120" w:after="120"/>
              <w:jc w:val="center"/>
            </w:pPr>
            <w:r w:rsidRPr="00187DFA">
              <w:t>Nil</w:t>
            </w:r>
          </w:p>
        </w:tc>
        <w:tc>
          <w:tcPr>
            <w:tcW w:w="1530" w:type="dxa"/>
          </w:tcPr>
          <w:p w14:paraId="1F6BABA4" w14:textId="77777777" w:rsidR="00D36060" w:rsidRPr="00187DFA" w:rsidRDefault="00D36060" w:rsidP="0054024B">
            <w:pPr>
              <w:spacing w:before="120" w:after="120"/>
              <w:jc w:val="center"/>
            </w:pPr>
            <w:r w:rsidRPr="00187DFA">
              <w:t>Nil</w:t>
            </w:r>
          </w:p>
        </w:tc>
        <w:tc>
          <w:tcPr>
            <w:tcW w:w="1440" w:type="dxa"/>
          </w:tcPr>
          <w:p w14:paraId="00A4842E" w14:textId="77777777" w:rsidR="00D36060" w:rsidRPr="00187DFA" w:rsidRDefault="00D36060" w:rsidP="0054024B">
            <w:pPr>
              <w:spacing w:before="120" w:after="120"/>
              <w:jc w:val="center"/>
            </w:pPr>
            <w:r w:rsidRPr="00187DFA">
              <w:t>Nil</w:t>
            </w:r>
          </w:p>
        </w:tc>
        <w:tc>
          <w:tcPr>
            <w:tcW w:w="1473" w:type="dxa"/>
          </w:tcPr>
          <w:p w14:paraId="426F84C5" w14:textId="77777777" w:rsidR="00D36060" w:rsidRPr="00187DFA" w:rsidRDefault="00D36060" w:rsidP="0054024B">
            <w:pPr>
              <w:spacing w:before="120" w:after="120"/>
              <w:jc w:val="center"/>
            </w:pPr>
            <w:r w:rsidRPr="00187DFA">
              <w:t>Nil</w:t>
            </w:r>
          </w:p>
        </w:tc>
        <w:tc>
          <w:tcPr>
            <w:tcW w:w="1559" w:type="dxa"/>
          </w:tcPr>
          <w:p w14:paraId="4B454BEA" w14:textId="77777777" w:rsidR="00D36060" w:rsidRPr="00187DFA" w:rsidRDefault="00D36060" w:rsidP="0054024B">
            <w:pPr>
              <w:spacing w:before="120" w:after="120"/>
              <w:jc w:val="center"/>
            </w:pPr>
            <w:r w:rsidRPr="00187DFA">
              <w:t>Nil</w:t>
            </w:r>
          </w:p>
        </w:tc>
      </w:tr>
      <w:tr w:rsidR="00187DFA" w:rsidRPr="00187DFA" w14:paraId="32408E49" w14:textId="77777777" w:rsidTr="0054024B">
        <w:tc>
          <w:tcPr>
            <w:tcW w:w="1638" w:type="dxa"/>
          </w:tcPr>
          <w:p w14:paraId="4EA540AD" w14:textId="77777777" w:rsidR="00D36060" w:rsidRPr="00187DFA" w:rsidRDefault="00D36060" w:rsidP="0054024B">
            <w:pPr>
              <w:pStyle w:val="BodyText"/>
              <w:spacing w:before="120" w:after="120"/>
            </w:pPr>
            <w:proofErr w:type="spellStart"/>
            <w:r w:rsidRPr="00187DFA">
              <w:rPr>
                <w:lang w:val="fr-FR"/>
              </w:rPr>
              <w:t>Series</w:t>
            </w:r>
            <w:proofErr w:type="spellEnd"/>
            <w:r w:rsidRPr="00187DFA">
              <w:rPr>
                <w:lang w:val="fr-FR"/>
              </w:rPr>
              <w:t xml:space="preserve"> O </w:t>
            </w:r>
            <w:proofErr w:type="spellStart"/>
            <w:r w:rsidRPr="00187DFA">
              <w:rPr>
                <w:lang w:val="fr-FR"/>
              </w:rPr>
              <w:t>Units</w:t>
            </w:r>
            <w:proofErr w:type="spellEnd"/>
          </w:p>
        </w:tc>
        <w:tc>
          <w:tcPr>
            <w:tcW w:w="1710" w:type="dxa"/>
          </w:tcPr>
          <w:p w14:paraId="34AF11A1" w14:textId="77777777" w:rsidR="00D36060" w:rsidRPr="00187DFA" w:rsidRDefault="00D36060" w:rsidP="0054024B">
            <w:pPr>
              <w:spacing w:before="120" w:after="120"/>
              <w:jc w:val="center"/>
            </w:pPr>
            <w:r w:rsidRPr="00187DFA">
              <w:t>Nil</w:t>
            </w:r>
          </w:p>
        </w:tc>
        <w:tc>
          <w:tcPr>
            <w:tcW w:w="1530" w:type="dxa"/>
          </w:tcPr>
          <w:p w14:paraId="3B440CBA" w14:textId="77777777" w:rsidR="00D36060" w:rsidRPr="00187DFA" w:rsidRDefault="00D36060" w:rsidP="0054024B">
            <w:pPr>
              <w:spacing w:before="120" w:after="120"/>
              <w:jc w:val="center"/>
            </w:pPr>
            <w:r w:rsidRPr="00187DFA">
              <w:t>Nil</w:t>
            </w:r>
          </w:p>
        </w:tc>
        <w:tc>
          <w:tcPr>
            <w:tcW w:w="1440" w:type="dxa"/>
          </w:tcPr>
          <w:p w14:paraId="3CA92119" w14:textId="77777777" w:rsidR="00D36060" w:rsidRPr="00187DFA" w:rsidRDefault="00D36060" w:rsidP="0054024B">
            <w:pPr>
              <w:spacing w:before="120" w:after="120"/>
              <w:jc w:val="center"/>
            </w:pPr>
            <w:r w:rsidRPr="00187DFA">
              <w:t>Nil</w:t>
            </w:r>
          </w:p>
        </w:tc>
        <w:tc>
          <w:tcPr>
            <w:tcW w:w="1473" w:type="dxa"/>
          </w:tcPr>
          <w:p w14:paraId="3F679AA4" w14:textId="77777777" w:rsidR="00D36060" w:rsidRPr="00187DFA" w:rsidRDefault="00D36060" w:rsidP="0054024B">
            <w:pPr>
              <w:spacing w:before="120" w:after="120"/>
              <w:jc w:val="center"/>
            </w:pPr>
            <w:r w:rsidRPr="00187DFA">
              <w:t>Nil</w:t>
            </w:r>
          </w:p>
        </w:tc>
        <w:tc>
          <w:tcPr>
            <w:tcW w:w="1559" w:type="dxa"/>
          </w:tcPr>
          <w:p w14:paraId="04A46843" w14:textId="77777777" w:rsidR="00D36060" w:rsidRPr="00187DFA" w:rsidRDefault="00D36060" w:rsidP="0054024B">
            <w:pPr>
              <w:spacing w:before="120" w:after="120"/>
              <w:jc w:val="center"/>
            </w:pPr>
            <w:r w:rsidRPr="00187DFA">
              <w:t>Nil</w:t>
            </w:r>
          </w:p>
        </w:tc>
      </w:tr>
    </w:tbl>
    <w:p w14:paraId="10B2AA6E" w14:textId="77777777" w:rsidR="00BF3D6B" w:rsidRPr="00187DFA" w:rsidRDefault="00BF3D6B" w:rsidP="00BF3D6B">
      <w:pPr>
        <w:pStyle w:val="Heading1"/>
        <w:spacing w:before="240"/>
      </w:pPr>
      <w:bookmarkStart w:id="69" w:name="_Toc531895546"/>
      <w:bookmarkStart w:id="70" w:name="_Toc531895624"/>
      <w:bookmarkStart w:id="71" w:name="_Toc531896285"/>
      <w:bookmarkStart w:id="72" w:name="_Toc133828647"/>
      <w:r w:rsidRPr="00187DFA">
        <w:rPr>
          <w:rFonts w:eastAsiaTheme="minorHAnsi"/>
        </w:rPr>
        <w:t>Dealer Compensation</w:t>
      </w:r>
      <w:bookmarkEnd w:id="69"/>
      <w:bookmarkEnd w:id="70"/>
      <w:bookmarkEnd w:id="71"/>
      <w:bookmarkEnd w:id="72"/>
    </w:p>
    <w:p w14:paraId="3140FE7A" w14:textId="7D498236" w:rsidR="00BF3D6B" w:rsidRPr="00187DFA" w:rsidRDefault="00BF3D6B" w:rsidP="00BF3D6B">
      <w:pPr>
        <w:pStyle w:val="Heading2"/>
      </w:pPr>
      <w:bookmarkStart w:id="73" w:name="_Toc534198391"/>
      <w:bookmarkStart w:id="74" w:name="_Toc534198556"/>
      <w:bookmarkStart w:id="75" w:name="_Toc534200174"/>
      <w:bookmarkStart w:id="76" w:name="_Toc534200343"/>
      <w:bookmarkStart w:id="77" w:name="_Toc534200507"/>
      <w:bookmarkStart w:id="78" w:name="_Toc534202128"/>
      <w:bookmarkStart w:id="79" w:name="_Toc36718937"/>
      <w:bookmarkStart w:id="80" w:name="_Toc133828648"/>
      <w:r w:rsidRPr="00187DFA">
        <w:t xml:space="preserve">How </w:t>
      </w:r>
      <w:r w:rsidR="00163FB4" w:rsidRPr="00187DFA">
        <w:t xml:space="preserve">Your Investment Professional </w:t>
      </w:r>
      <w:r w:rsidR="009C5AB1">
        <w:t>and</w:t>
      </w:r>
      <w:r w:rsidR="00163FB4" w:rsidRPr="00187DFA">
        <w:t xml:space="preserve"> Dealer </w:t>
      </w:r>
      <w:r w:rsidR="009C5AB1">
        <w:t>are</w:t>
      </w:r>
      <w:r w:rsidR="00163FB4" w:rsidRPr="00187DFA">
        <w:t xml:space="preserve"> Paid</w:t>
      </w:r>
      <w:bookmarkEnd w:id="73"/>
      <w:bookmarkEnd w:id="74"/>
      <w:bookmarkEnd w:id="75"/>
      <w:bookmarkEnd w:id="76"/>
      <w:bookmarkEnd w:id="77"/>
      <w:bookmarkEnd w:id="78"/>
      <w:bookmarkEnd w:id="79"/>
      <w:bookmarkEnd w:id="80"/>
    </w:p>
    <w:p w14:paraId="256F50DC" w14:textId="77777777" w:rsidR="00BF3D6B" w:rsidRPr="00187DFA" w:rsidRDefault="00BF3D6B" w:rsidP="00BF3D6B">
      <w:pPr>
        <w:pStyle w:val="BodyText"/>
      </w:pPr>
      <w:r w:rsidRPr="00187DFA">
        <w:t>Your investment professional usually is the person through whom you purchase units of the Fund. Your investment professional could be a broker, financial planner or advisor who is registered to sell mutual funds. Your dealer is the firm for which your investment professional works.</w:t>
      </w:r>
    </w:p>
    <w:p w14:paraId="3A7DC6CA" w14:textId="77777777" w:rsidR="00BF3D6B" w:rsidRPr="00187DFA" w:rsidRDefault="00BF3D6B" w:rsidP="00BF3D6B">
      <w:pPr>
        <w:pStyle w:val="Heading4"/>
        <w:rPr>
          <w:b/>
          <w:bCs w:val="0"/>
          <w:color w:val="auto"/>
        </w:rPr>
      </w:pPr>
      <w:r w:rsidRPr="00187DFA">
        <w:rPr>
          <w:b/>
          <w:bCs w:val="0"/>
          <w:color w:val="auto"/>
        </w:rPr>
        <w:t>Trailing Commission</w:t>
      </w:r>
    </w:p>
    <w:p w14:paraId="063FF613" w14:textId="622A0637" w:rsidR="00BF3D6B" w:rsidRPr="00480D95" w:rsidRDefault="00BF3D6B" w:rsidP="00BF3D6B">
      <w:pPr>
        <w:pStyle w:val="BodyText"/>
        <w:rPr>
          <w:rFonts w:cs="Times New Roman"/>
          <w:szCs w:val="21"/>
        </w:rPr>
      </w:pPr>
      <w:r w:rsidRPr="00187DFA">
        <w:rPr>
          <w:rFonts w:cs="Times New Roman"/>
          <w:szCs w:val="21"/>
        </w:rPr>
        <w:t xml:space="preserve">We pay a service fee known as a “trailing commission” to your dealer either monthly or quarterly for ongoing services your dealer may provide to you in respect of your Series A Units. The service fee is a percentage of the value of the Series A Units you hold (see the table below for further details) and depends, in part, on the services that your dealer has confirmed to us it will provide.  </w:t>
      </w:r>
      <w:r w:rsidRPr="00480D95">
        <w:rPr>
          <w:rFonts w:cs="Times New Roman"/>
          <w:szCs w:val="21"/>
        </w:rPr>
        <w:t xml:space="preserve">We pay your dealer the service fee out of the management fee payable by the Fund to </w:t>
      </w:r>
      <w:proofErr w:type="spellStart"/>
      <w:r w:rsidR="003F2C33" w:rsidRPr="00480D95">
        <w:rPr>
          <w:rFonts w:cstheme="minorHAnsi"/>
        </w:rPr>
        <w:t>Barrantagh</w:t>
      </w:r>
      <w:proofErr w:type="spellEnd"/>
      <w:r w:rsidR="003F2C33" w:rsidRPr="00480D95">
        <w:rPr>
          <w:rFonts w:cstheme="minorHAnsi"/>
        </w:rPr>
        <w:t xml:space="preserve"> </w:t>
      </w:r>
      <w:r w:rsidRPr="00480D95">
        <w:rPr>
          <w:rFonts w:cs="Times New Roman"/>
          <w:szCs w:val="21"/>
        </w:rPr>
        <w:t xml:space="preserve">for as long as you hold Series A Units. The management fee payable by the Fund to </w:t>
      </w:r>
      <w:proofErr w:type="spellStart"/>
      <w:r w:rsidR="007643B9" w:rsidRPr="00480D95">
        <w:rPr>
          <w:rFonts w:cstheme="minorHAnsi"/>
        </w:rPr>
        <w:t>Barrantagh</w:t>
      </w:r>
      <w:proofErr w:type="spellEnd"/>
      <w:r w:rsidR="007643B9" w:rsidRPr="00480D95">
        <w:rPr>
          <w:rFonts w:cstheme="minorHAnsi"/>
        </w:rPr>
        <w:t xml:space="preserve"> </w:t>
      </w:r>
      <w:r w:rsidRPr="00480D95">
        <w:rPr>
          <w:rFonts w:cs="Times New Roman"/>
          <w:szCs w:val="21"/>
        </w:rPr>
        <w:t xml:space="preserve">is the same regardless of the amount of service fees paid by </w:t>
      </w:r>
      <w:proofErr w:type="spellStart"/>
      <w:r w:rsidR="007643B9" w:rsidRPr="00480D95">
        <w:rPr>
          <w:rFonts w:cstheme="minorHAnsi"/>
        </w:rPr>
        <w:t>Barrantagh</w:t>
      </w:r>
      <w:proofErr w:type="spellEnd"/>
      <w:r w:rsidRPr="00480D95">
        <w:rPr>
          <w:rFonts w:cs="Times New Roman"/>
          <w:szCs w:val="21"/>
        </w:rPr>
        <w:t xml:space="preserve">. We may change the terms of the service fee including the manner and frequency with which it is paid at any time. We may do this without informing you. Dealers typically pay a portion of the service fee they receive to their investment professionals for the services they provide to their clients. </w:t>
      </w:r>
    </w:p>
    <w:tbl>
      <w:tblPr>
        <w:tblStyle w:val="TableGrid"/>
        <w:tblW w:w="9493" w:type="dxa"/>
        <w:tblLook w:val="04A0" w:firstRow="1" w:lastRow="0" w:firstColumn="1" w:lastColumn="0" w:noHBand="0" w:noVBand="1"/>
      </w:tblPr>
      <w:tblGrid>
        <w:gridCol w:w="4746"/>
        <w:gridCol w:w="4747"/>
      </w:tblGrid>
      <w:tr w:rsidR="00480D95" w:rsidRPr="00480D95" w14:paraId="16A03710" w14:textId="77777777" w:rsidTr="0054024B">
        <w:trPr>
          <w:trHeight w:val="373"/>
          <w:tblHeader/>
        </w:trPr>
        <w:tc>
          <w:tcPr>
            <w:tcW w:w="4746" w:type="dxa"/>
          </w:tcPr>
          <w:p w14:paraId="5ECFDD57" w14:textId="77777777" w:rsidR="00BF3D6B" w:rsidRPr="00480D95" w:rsidRDefault="00BF3D6B" w:rsidP="0054024B">
            <w:pPr>
              <w:pStyle w:val="BodyText"/>
              <w:spacing w:before="60" w:after="60"/>
              <w:rPr>
                <w:rFonts w:cs="Times New Roman"/>
                <w:b/>
              </w:rPr>
            </w:pPr>
          </w:p>
        </w:tc>
        <w:tc>
          <w:tcPr>
            <w:tcW w:w="4747" w:type="dxa"/>
          </w:tcPr>
          <w:p w14:paraId="676B3369" w14:textId="77777777" w:rsidR="00BF3D6B" w:rsidRPr="00480D95" w:rsidRDefault="00BF3D6B" w:rsidP="0054024B">
            <w:pPr>
              <w:pStyle w:val="BodyText"/>
              <w:spacing w:before="60" w:after="60"/>
              <w:jc w:val="center"/>
              <w:rPr>
                <w:rFonts w:cs="Times New Roman"/>
                <w:b/>
              </w:rPr>
            </w:pPr>
            <w:r w:rsidRPr="00480D95">
              <w:rPr>
                <w:rFonts w:cs="Times New Roman"/>
                <w:b/>
              </w:rPr>
              <w:t>Maximum Annual Trailing Commission</w:t>
            </w:r>
          </w:p>
        </w:tc>
      </w:tr>
      <w:tr w:rsidR="00480D95" w:rsidRPr="00480D95" w14:paraId="0D63B317" w14:textId="77777777" w:rsidTr="0054024B">
        <w:trPr>
          <w:trHeight w:val="373"/>
          <w:tblHeader/>
        </w:trPr>
        <w:tc>
          <w:tcPr>
            <w:tcW w:w="4746" w:type="dxa"/>
          </w:tcPr>
          <w:p w14:paraId="1B6D1437" w14:textId="77777777" w:rsidR="00BF3D6B" w:rsidRPr="00480D95" w:rsidRDefault="00BF3D6B" w:rsidP="0054024B">
            <w:pPr>
              <w:pStyle w:val="BodyText"/>
              <w:spacing w:before="60" w:after="60"/>
              <w:rPr>
                <w:rFonts w:cs="Times New Roman"/>
                <w:b/>
              </w:rPr>
            </w:pPr>
            <w:r w:rsidRPr="00480D95">
              <w:rPr>
                <w:rFonts w:cs="Times New Roman"/>
                <w:b/>
              </w:rPr>
              <w:t>Fund</w:t>
            </w:r>
          </w:p>
        </w:tc>
        <w:tc>
          <w:tcPr>
            <w:tcW w:w="4747" w:type="dxa"/>
          </w:tcPr>
          <w:p w14:paraId="42AD4CAF" w14:textId="14C489C2" w:rsidR="00BF3D6B" w:rsidRPr="00480D95" w:rsidRDefault="00BF3D6B" w:rsidP="0054024B">
            <w:pPr>
              <w:pStyle w:val="BodyText"/>
              <w:spacing w:before="60" w:after="60"/>
              <w:jc w:val="center"/>
              <w:rPr>
                <w:rFonts w:cs="Times New Roman"/>
                <w:b/>
              </w:rPr>
            </w:pPr>
            <w:r w:rsidRPr="00480D95">
              <w:rPr>
                <w:rFonts w:cs="Times New Roman"/>
                <w:b/>
              </w:rPr>
              <w:t>Series A Units</w:t>
            </w:r>
          </w:p>
        </w:tc>
      </w:tr>
      <w:tr w:rsidR="00480D95" w:rsidRPr="00480D95" w14:paraId="2823D29C" w14:textId="77777777" w:rsidTr="0054024B">
        <w:trPr>
          <w:trHeight w:val="373"/>
        </w:trPr>
        <w:tc>
          <w:tcPr>
            <w:tcW w:w="4746" w:type="dxa"/>
          </w:tcPr>
          <w:p w14:paraId="44DA20D8" w14:textId="77777777" w:rsidR="00BF3D6B" w:rsidRPr="00480D95" w:rsidRDefault="00BF3D6B" w:rsidP="0054024B">
            <w:pPr>
              <w:pStyle w:val="BodyText"/>
              <w:spacing w:before="60" w:after="60"/>
              <w:rPr>
                <w:rFonts w:cs="Times New Roman"/>
                <w:bCs/>
              </w:rPr>
            </w:pPr>
            <w:proofErr w:type="spellStart"/>
            <w:r w:rsidRPr="00480D95">
              <w:rPr>
                <w:rFonts w:cs="Times New Roman"/>
                <w:bCs/>
              </w:rPr>
              <w:t>Barrantagh</w:t>
            </w:r>
            <w:proofErr w:type="spellEnd"/>
            <w:r w:rsidRPr="00480D95">
              <w:rPr>
                <w:rFonts w:cs="Times New Roman"/>
                <w:bCs/>
              </w:rPr>
              <w:t xml:space="preserve"> Small Cap Canadian Equity Fund</w:t>
            </w:r>
          </w:p>
        </w:tc>
        <w:tc>
          <w:tcPr>
            <w:tcW w:w="4747" w:type="dxa"/>
          </w:tcPr>
          <w:p w14:paraId="7F2ACDBD" w14:textId="77777777" w:rsidR="00BF3D6B" w:rsidRPr="00480D95" w:rsidRDefault="00BF3D6B" w:rsidP="0054024B">
            <w:pPr>
              <w:pStyle w:val="BodyText"/>
              <w:spacing w:before="60" w:after="60"/>
              <w:jc w:val="center"/>
              <w:rPr>
                <w:rFonts w:cs="Times New Roman"/>
              </w:rPr>
            </w:pPr>
            <w:r w:rsidRPr="00480D95">
              <w:rPr>
                <w:rFonts w:cs="Times New Roman"/>
              </w:rPr>
              <w:t>1.0%</w:t>
            </w:r>
            <w:r w:rsidRPr="00480D95">
              <w:rPr>
                <w:rFonts w:cs="Times New Roman"/>
                <w:vertAlign w:val="superscript"/>
              </w:rPr>
              <w:t xml:space="preserve"> (1)</w:t>
            </w:r>
          </w:p>
        </w:tc>
      </w:tr>
    </w:tbl>
    <w:p w14:paraId="01536366" w14:textId="77777777" w:rsidR="00BF3D6B" w:rsidRPr="00480D95" w:rsidRDefault="00BF3D6B" w:rsidP="00BF3D6B">
      <w:pPr>
        <w:pStyle w:val="BodyText"/>
        <w:keepNext/>
        <w:spacing w:before="120" w:after="0"/>
        <w:rPr>
          <w:b/>
          <w:sz w:val="18"/>
          <w:szCs w:val="18"/>
        </w:rPr>
      </w:pPr>
      <w:r w:rsidRPr="00480D95">
        <w:rPr>
          <w:b/>
          <w:sz w:val="18"/>
          <w:szCs w:val="18"/>
          <w:u w:val="single"/>
        </w:rPr>
        <w:t>Note</w:t>
      </w:r>
      <w:r w:rsidRPr="00480D95">
        <w:rPr>
          <w:b/>
          <w:sz w:val="18"/>
          <w:szCs w:val="18"/>
        </w:rPr>
        <w:t xml:space="preserve">: </w:t>
      </w:r>
    </w:p>
    <w:p w14:paraId="41C30719" w14:textId="70ED7160" w:rsidR="00BF3D6B" w:rsidRPr="00480D95" w:rsidRDefault="00BF3D6B" w:rsidP="00743997">
      <w:pPr>
        <w:pStyle w:val="BodyText"/>
        <w:ind w:left="360" w:hanging="360"/>
        <w:rPr>
          <w:sz w:val="18"/>
          <w:szCs w:val="18"/>
        </w:rPr>
      </w:pPr>
      <w:r w:rsidRPr="00480D95">
        <w:rPr>
          <w:sz w:val="18"/>
          <w:szCs w:val="18"/>
        </w:rPr>
        <w:t>(1)</w:t>
      </w:r>
      <w:r w:rsidRPr="00480D95">
        <w:rPr>
          <w:sz w:val="18"/>
          <w:szCs w:val="18"/>
        </w:rPr>
        <w:tab/>
      </w:r>
      <w:proofErr w:type="gramStart"/>
      <w:r w:rsidRPr="00480D95">
        <w:rPr>
          <w:sz w:val="18"/>
          <w:szCs w:val="18"/>
        </w:rPr>
        <w:t>Plus</w:t>
      </w:r>
      <w:proofErr w:type="gramEnd"/>
      <w:r w:rsidRPr="00480D95">
        <w:rPr>
          <w:sz w:val="18"/>
          <w:szCs w:val="18"/>
        </w:rPr>
        <w:t xml:space="preserve"> applicable HST.</w:t>
      </w:r>
    </w:p>
    <w:p w14:paraId="29A93958" w14:textId="5067B277" w:rsidR="00BF3D6B" w:rsidRPr="00480D95" w:rsidRDefault="00BF3D6B" w:rsidP="00BF3D6B">
      <w:pPr>
        <w:pStyle w:val="Heading1"/>
      </w:pPr>
      <w:bookmarkStart w:id="81" w:name="_Toc531895547"/>
      <w:bookmarkStart w:id="82" w:name="_Toc531895625"/>
      <w:bookmarkStart w:id="83" w:name="_Toc531896286"/>
      <w:bookmarkStart w:id="84" w:name="_Toc133828649"/>
      <w:r w:rsidRPr="00480D95">
        <w:rPr>
          <w:rFonts w:eastAsiaTheme="minorHAnsi"/>
        </w:rPr>
        <w:t>Income Tax Considerations</w:t>
      </w:r>
      <w:bookmarkEnd w:id="81"/>
      <w:bookmarkEnd w:id="82"/>
      <w:bookmarkEnd w:id="83"/>
      <w:bookmarkEnd w:id="84"/>
    </w:p>
    <w:p w14:paraId="5771EFE8" w14:textId="375F3FFA" w:rsidR="00CD4051" w:rsidRPr="00CD4051" w:rsidRDefault="00CD4051" w:rsidP="00CD4051">
      <w:pPr>
        <w:pStyle w:val="BodyTextFirstIndent"/>
        <w:ind w:firstLine="0"/>
        <w:rPr>
          <w:lang w:val="en-US"/>
        </w:rPr>
      </w:pPr>
      <w:r w:rsidRPr="00CD4051">
        <w:rPr>
          <w:lang w:val="en-US"/>
        </w:rPr>
        <w:t>The following is a summary of the principal Canadian federal income tax considerations generally applicable to the Fund and to its Unitholders who at all relevant times are Registered Plans</w:t>
      </w:r>
      <w:r w:rsidR="00301B28">
        <w:rPr>
          <w:lang w:val="en-US"/>
        </w:rPr>
        <w:t xml:space="preserve"> (as defined herein)</w:t>
      </w:r>
      <w:r w:rsidRPr="00CD4051">
        <w:rPr>
          <w:lang w:val="en-US"/>
        </w:rPr>
        <w:t xml:space="preserve"> or individuals (other than trusts) resident in Canada, who deal at arm’s length and are not affiliated with the Fund and who hold their Units of the Fund as capital property, all within the meaning of the Tax Act.</w:t>
      </w:r>
    </w:p>
    <w:p w14:paraId="490D8E31" w14:textId="77777777" w:rsidR="00CD4051" w:rsidRPr="00CD4051" w:rsidRDefault="00CD4051" w:rsidP="00CD4051">
      <w:pPr>
        <w:pStyle w:val="BodyTextFirstIndent"/>
        <w:ind w:firstLine="0"/>
        <w:rPr>
          <w:lang w:val="en-US"/>
        </w:rPr>
      </w:pPr>
      <w:r w:rsidRPr="00CD4051">
        <w:rPr>
          <w:lang w:val="en-US"/>
        </w:rPr>
        <w:t xml:space="preserve">Generally, Units of the Fund will </w:t>
      </w:r>
      <w:proofErr w:type="gramStart"/>
      <w:r w:rsidRPr="00CD4051">
        <w:rPr>
          <w:lang w:val="en-US"/>
        </w:rPr>
        <w:t>be considered to be</w:t>
      </w:r>
      <w:proofErr w:type="gramEnd"/>
      <w:r w:rsidRPr="00CD4051">
        <w:rPr>
          <w:lang w:val="en-US"/>
        </w:rPr>
        <w:t xml:space="preserve"> capital property to a Unitholder provided that the Unitholder does not hold such Units in the course of carrying on a business of buying and selling securities and has not acquired them in one or more transactions considered to be an adventure or concern in the nature of trade. Since the Fund is expected to qualify as a “mutual fund trust” at all times for purposes of the Tax Act, certain Unitholders of the Fund who might not otherwise be considered to hold Units of the Fund as capital property may, in certain circumstances, be entitled to have such Units and all other “Canadian securities” owned or subsequently acquired by them treated as capital property by making the irrevocable election permitted by subsection 39(4) of the Tax Act. This summary does not apply to a Unitholder of the Fund who has entered or will </w:t>
      </w:r>
      <w:proofErr w:type="gramStart"/>
      <w:r w:rsidRPr="00CD4051">
        <w:rPr>
          <w:lang w:val="en-US"/>
        </w:rPr>
        <w:t>enter into</w:t>
      </w:r>
      <w:proofErr w:type="gramEnd"/>
      <w:r w:rsidRPr="00CD4051">
        <w:rPr>
          <w:lang w:val="en-US"/>
        </w:rPr>
        <w:t xml:space="preserve"> a “derivative forward agreement” as that term is defined in the Tax Act with respect to the Units.</w:t>
      </w:r>
    </w:p>
    <w:p w14:paraId="2814D1C2" w14:textId="0E6BEE5B" w:rsidR="00CD4051" w:rsidRPr="00CD4051" w:rsidRDefault="00CD4051" w:rsidP="00CD4051">
      <w:pPr>
        <w:pStyle w:val="BodyTextFirstIndent"/>
        <w:ind w:firstLine="0"/>
        <w:rPr>
          <w:lang w:val="en-US"/>
        </w:rPr>
      </w:pPr>
      <w:r w:rsidRPr="00CD4051">
        <w:rPr>
          <w:lang w:val="en-US"/>
        </w:rPr>
        <w:t xml:space="preserve">This summary is based upon the facts set out in </w:t>
      </w:r>
      <w:r w:rsidR="00A853E5">
        <w:rPr>
          <w:lang w:val="en-US"/>
        </w:rPr>
        <w:t>this</w:t>
      </w:r>
      <w:r w:rsidRPr="00CD4051">
        <w:rPr>
          <w:lang w:val="en-US"/>
        </w:rPr>
        <w:t xml:space="preserve"> simplified prospectus, the current provisions of the Tax Act and an understanding of the administrative policies and assessing practices of the CRA that have been made publicly available prior to the date of this </w:t>
      </w:r>
      <w:r w:rsidR="006454E8">
        <w:rPr>
          <w:lang w:val="en-US"/>
        </w:rPr>
        <w:t>simplified prospectus</w:t>
      </w:r>
      <w:r w:rsidRPr="00CD4051">
        <w:rPr>
          <w:lang w:val="en-US"/>
        </w:rPr>
        <w:t xml:space="preserve">. This summary </w:t>
      </w:r>
      <w:proofErr w:type="gramStart"/>
      <w:r w:rsidRPr="00CD4051">
        <w:rPr>
          <w:lang w:val="en-US"/>
        </w:rPr>
        <w:t>takes into account</w:t>
      </w:r>
      <w:proofErr w:type="gramEnd"/>
      <w:r w:rsidRPr="00CD4051">
        <w:rPr>
          <w:lang w:val="en-US"/>
        </w:rPr>
        <w:t xml:space="preserve"> specific proposals to amend the Tax Act publicly announced by the Minister of Finance (Canada) prior to the date hereof (the “</w:t>
      </w:r>
      <w:r w:rsidRPr="00E9328E">
        <w:rPr>
          <w:b/>
          <w:bCs/>
          <w:lang w:val="en-US"/>
        </w:rPr>
        <w:t>Proposed Amendments</w:t>
      </w:r>
      <w:r w:rsidRPr="00CD4051">
        <w:rPr>
          <w:lang w:val="en-US"/>
        </w:rPr>
        <w:t xml:space="preserve">”). There can be no assurance that the Proposed Amendments will be enacted in the form currently proposed or at all. Otherwise, this summary does not </w:t>
      </w:r>
      <w:proofErr w:type="gramStart"/>
      <w:r w:rsidRPr="00CD4051">
        <w:rPr>
          <w:lang w:val="en-US"/>
        </w:rPr>
        <w:t>take into account</w:t>
      </w:r>
      <w:proofErr w:type="gramEnd"/>
      <w:r w:rsidRPr="00CD4051">
        <w:rPr>
          <w:lang w:val="en-US"/>
        </w:rPr>
        <w:t xml:space="preserve"> or anticipate any changes in law or administrative policies or assessing practices, whether by legislative, governmental or judicial action or decision.</w:t>
      </w:r>
    </w:p>
    <w:p w14:paraId="41BFBECB" w14:textId="77777777" w:rsidR="00CD4051" w:rsidRPr="00CD4051" w:rsidRDefault="00CD4051" w:rsidP="00CD4051">
      <w:pPr>
        <w:pStyle w:val="BodyTextFirstIndent"/>
        <w:ind w:firstLine="0"/>
        <w:rPr>
          <w:lang w:val="en-US"/>
        </w:rPr>
      </w:pPr>
      <w:r w:rsidRPr="00CD4051">
        <w:rPr>
          <w:lang w:val="en-US"/>
        </w:rPr>
        <w:t xml:space="preserve">This summary </w:t>
      </w:r>
      <w:proofErr w:type="gramStart"/>
      <w:r w:rsidRPr="00CD4051">
        <w:rPr>
          <w:lang w:val="en-US"/>
        </w:rPr>
        <w:t>is based on the assumption</w:t>
      </w:r>
      <w:proofErr w:type="gramEnd"/>
      <w:r w:rsidRPr="00CD4051">
        <w:rPr>
          <w:lang w:val="en-US"/>
        </w:rPr>
        <w:t xml:space="preserve"> that at all times the Fund will comply with its investment restrictions and also on the assumption that the Fund will not, at any time, be a “SIFT trust” as defined in the rules in the Tax Act relating to the tax for SIFT trusts and SIFT partnerships (the “</w:t>
      </w:r>
      <w:r w:rsidRPr="004502E6">
        <w:rPr>
          <w:b/>
          <w:bCs/>
          <w:lang w:val="en-US"/>
        </w:rPr>
        <w:t>SIFT Rules</w:t>
      </w:r>
      <w:r w:rsidRPr="00CD4051">
        <w:rPr>
          <w:lang w:val="en-US"/>
        </w:rPr>
        <w:t>”). One of the conditions for a trust to be a SIFT trust is that investments in the trust must be listed or traded on a stock exchange or other public market, which includes a trading system or other organized facility on which securities that are qualified for public distribution are listed or traded, but does not include a facility that is operated solely to carry out the issuance of a security or its redemption, acquisition or cancellation by the issuer. No Units of the Fund are listed or traded on a stock exchange and the Manager understands that no Units of the Fund are listed or traded on any other public market. Based on that information, the Fund should not be considered a SIFT trust under the Tax Act.</w:t>
      </w:r>
    </w:p>
    <w:p w14:paraId="77C3DC18" w14:textId="740737E0" w:rsidR="00CD4051" w:rsidRPr="00CD4051" w:rsidRDefault="00CD4051" w:rsidP="00CD4051">
      <w:pPr>
        <w:pStyle w:val="BodyTextFirstIndent"/>
        <w:ind w:firstLine="0"/>
        <w:rPr>
          <w:lang w:val="en-US"/>
        </w:rPr>
      </w:pPr>
      <w:r w:rsidRPr="00CD4051">
        <w:rPr>
          <w:lang w:val="en-US"/>
        </w:rPr>
        <w:lastRenderedPageBreak/>
        <w:t xml:space="preserve">This summary is of a general nature only and does not </w:t>
      </w:r>
      <w:proofErr w:type="gramStart"/>
      <w:r w:rsidRPr="00CD4051">
        <w:rPr>
          <w:lang w:val="en-US"/>
        </w:rPr>
        <w:t>take into account</w:t>
      </w:r>
      <w:proofErr w:type="gramEnd"/>
      <w:r w:rsidRPr="00CD4051">
        <w:rPr>
          <w:lang w:val="en-US"/>
        </w:rPr>
        <w:t xml:space="preserve"> the tax laws of any province or territory or of any jurisdiction outside Canada. It is not intended to be, nor should it be construed to be, legal or tax advice to any </w:t>
      </w:r>
      <w:proofErr w:type="gramStart"/>
      <w:r w:rsidRPr="00CD4051">
        <w:rPr>
          <w:lang w:val="en-US"/>
        </w:rPr>
        <w:t>particular investor</w:t>
      </w:r>
      <w:proofErr w:type="gramEnd"/>
      <w:r w:rsidRPr="00CD4051">
        <w:rPr>
          <w:lang w:val="en-US"/>
        </w:rPr>
        <w:t xml:space="preserve">. Further, this summary does not describe the tax consequences relating to the deductibility of interest on money borrowed to acquire Units of the Fund. Investors are urged to consult with their own tax advisors for advice with respect to their </w:t>
      </w:r>
      <w:proofErr w:type="gramStart"/>
      <w:r w:rsidRPr="00CD4051">
        <w:rPr>
          <w:lang w:val="en-US"/>
        </w:rPr>
        <w:t>particular circumstances</w:t>
      </w:r>
      <w:proofErr w:type="gramEnd"/>
      <w:r w:rsidRPr="00CD4051">
        <w:rPr>
          <w:lang w:val="en-US"/>
        </w:rPr>
        <w:t>.</w:t>
      </w:r>
    </w:p>
    <w:p w14:paraId="4CCD383E" w14:textId="1A10F13C" w:rsidR="00BF3D6B" w:rsidRDefault="00B7567D" w:rsidP="00BF3D6B">
      <w:pPr>
        <w:pStyle w:val="Heading2"/>
      </w:pPr>
      <w:bookmarkStart w:id="85" w:name="_Toc133828650"/>
      <w:bookmarkStart w:id="86" w:name="_Hlk130478960"/>
      <w:r>
        <w:t>Status of the Fund</w:t>
      </w:r>
      <w:bookmarkEnd w:id="85"/>
    </w:p>
    <w:bookmarkEnd w:id="86"/>
    <w:p w14:paraId="17033D9A" w14:textId="7B82D2E0" w:rsidR="00B7567D" w:rsidRDefault="00E6781F" w:rsidP="00B7567D">
      <w:r w:rsidRPr="00E6781F">
        <w:t xml:space="preserve">This summary </w:t>
      </w:r>
      <w:proofErr w:type="gramStart"/>
      <w:r w:rsidRPr="00E6781F">
        <w:t>is based on the assumption</w:t>
      </w:r>
      <w:proofErr w:type="gramEnd"/>
      <w:r w:rsidRPr="00E6781F">
        <w:t xml:space="preserve"> that the Fund qualifies and will continue to qualify, at all times as a “mutual fund trust” within the meaning of the Tax Act and that the Fund has elected under the Tax Act to be a mutual fund trust from the date it was established. To qualify as a mutual fund trust, the Fund must satisfy various requirements including minimum distribution requirements relating to a particular class of the Units of the Fund. In addition, the Fund may not reasonably at any time </w:t>
      </w:r>
      <w:proofErr w:type="gramStart"/>
      <w:r w:rsidRPr="00E6781F">
        <w:t>be considered to be</w:t>
      </w:r>
      <w:proofErr w:type="gramEnd"/>
      <w:r w:rsidRPr="00E6781F">
        <w:t xml:space="preserve"> established or maintained primarily for the benefit of non-resident persons unless, at that time, substantially all of its property consists of property other than property that would be “taxable Canadian property” within the meaning of the Tax Act (if the definition of such term were read without reference to paragraph (b) of that definition). In the event the Fund were not to </w:t>
      </w:r>
      <w:proofErr w:type="gramStart"/>
      <w:r w:rsidRPr="00E6781F">
        <w:t>qualify as a mutual fund trust at all times</w:t>
      </w:r>
      <w:proofErr w:type="gramEnd"/>
      <w:r w:rsidRPr="00E6781F">
        <w:t>, the income tax consequences described below would in some respects be materially and adversely different.</w:t>
      </w:r>
    </w:p>
    <w:p w14:paraId="0137343C" w14:textId="5915A984" w:rsidR="007B58AC" w:rsidRDefault="007B58AC" w:rsidP="007B58AC">
      <w:pPr>
        <w:pStyle w:val="Heading2"/>
      </w:pPr>
      <w:bookmarkStart w:id="87" w:name="_Toc133828651"/>
      <w:r>
        <w:t>Taxation of the Fund</w:t>
      </w:r>
      <w:bookmarkEnd w:id="87"/>
    </w:p>
    <w:p w14:paraId="5F6A3BDC" w14:textId="77777777" w:rsidR="002238EA" w:rsidRDefault="002238EA" w:rsidP="002238EA">
      <w:r>
        <w:t xml:space="preserve">The Fund has elected to have a taxation year end of December 15. The Fund is subject to tax in each taxation year under Part I of the Tax Act on the amount of its net income for the taxation year, including net realized taxable capital gains, less the portion thereof that it deducts in respect of the amounts paid or payable to Unitholders in the calendar year in which the taxation year ends. An amount will </w:t>
      </w:r>
      <w:proofErr w:type="gramStart"/>
      <w:r>
        <w:t>be considered to be</w:t>
      </w:r>
      <w:proofErr w:type="gramEnd"/>
      <w:r>
        <w:t xml:space="preserve"> payable to a Unitholder in a taxation year if it is paid to the Unitholder in the calendar year in which the taxation year ends by the Fund (regardless of whether it is in cash or automatically invested in additional Units) or if the Unitholder is entitled in that calendar year to enforce payment of the amount. Pursuant to the Fund’s Declaration, the annual net income (including net realized capital gains, less unapplied capital losses from prior years) of the Fund will be payable to Unitholders each year to the extent necessary so that the Fund will not have any liability for tax under Part I of the Tax Act (after </w:t>
      </w:r>
      <w:proofErr w:type="gramStart"/>
      <w:r>
        <w:t>taking into account</w:t>
      </w:r>
      <w:proofErr w:type="gramEnd"/>
      <w:r>
        <w:t xml:space="preserve"> Capital Gains Refunds (as defined below) of the Fund). </w:t>
      </w:r>
    </w:p>
    <w:p w14:paraId="0987615C" w14:textId="77777777" w:rsidR="002238EA" w:rsidRDefault="002238EA" w:rsidP="002238EA">
      <w:r>
        <w:t>The Fund will be entitled for each taxation year throughout which it is a mutual fund trust for purposes of the Tax Act to reduce (or receive a refund in respect of) its liability, if any, for tax on its net realized capital gains by an amount determined under the Tax Act based on the redemptions of Units during the year (the “</w:t>
      </w:r>
      <w:r w:rsidRPr="008C0A0A">
        <w:rPr>
          <w:b/>
          <w:bCs/>
        </w:rPr>
        <w:t>Capital Gains Refund</w:t>
      </w:r>
      <w:r>
        <w:t>”). The Capital Gains Refund in a particular taxation year may not completely offset the tax liability of the Fund for such taxation year which may arise upon the sale or other disposition of securities in the Fund’s portfolio in connection with the redemption of Units.</w:t>
      </w:r>
    </w:p>
    <w:p w14:paraId="29AEB242" w14:textId="77777777" w:rsidR="002238EA" w:rsidRDefault="002238EA" w:rsidP="002238EA">
      <w:r>
        <w:t xml:space="preserve">Upon the actual or deemed disposition of a security included in the Fund’s portfolio, the Fund will generally realize a capital gain (or capital loss) to the extent the proceeds of disposition net of any amounts included as interest on the disposition of the security and any reasonable costs of disposition exceed (or are less than) the adjusted cost base of such security unless the Fund were considered to be trading or dealing in securities or otherwise carrying on a business of buying and selling securities or the Fund has acquired the security in a transaction or transactions considered to be an adventure or concern in the nature of trade. The Fund purchases securities </w:t>
      </w:r>
      <w:r>
        <w:lastRenderedPageBreak/>
        <w:t xml:space="preserve">with the objective of receiving distributions and income thereon and takes the position that gains and losses realized on the disposition thereof are capital gains and capital losses. The Fund has made the election under subsection 39(4) of the Tax Act so that all securities included in the Fund’s portfolio that are “Canadian securities” (as defined in the Tax Act) are deemed to be capital property to the Fund. </w:t>
      </w:r>
    </w:p>
    <w:p w14:paraId="2DF94B6B" w14:textId="6992E4AD" w:rsidR="002238EA" w:rsidRDefault="002238EA" w:rsidP="002238EA">
      <w:r>
        <w:t xml:space="preserve">One-half of any capital gains realized by the Fund in a taxation year on the disposition of securities included in the Fund’s portfolio will be included in computing the income of the Fund as taxable capital gains for the year and one-half of any capital losses realized by the Fund in a taxation year must be deducted as allowable capital losses against taxable capital gains realized by the Fund for the year in accordance with the provisions of the Tax Act. Allowable capital losses for a taxation year of the Fund </w:t>
      </w:r>
      <w:proofErr w:type="gramStart"/>
      <w:r>
        <w:t>in excess of</w:t>
      </w:r>
      <w:proofErr w:type="gramEnd"/>
      <w:r>
        <w:t xml:space="preserve"> taxable capital gains for the year may be carried back and deducted in any of the three preceding taxation years or carried forward and deducted in any subsequent taxation year against taxable capital gains in accordance with the provisions of the Tax Act.</w:t>
      </w:r>
    </w:p>
    <w:p w14:paraId="435BC35F" w14:textId="0B04CBF3" w:rsidR="00FF548A" w:rsidRPr="00FF548A" w:rsidRDefault="00FF548A" w:rsidP="002238EA">
      <w:r>
        <w:t>A loss realized by the Fund on a disposition of capital property will be a suspended loss for purposes of the Tax Act if the Fund, or a person affiliated with the Fund, acquires a property (a “</w:t>
      </w:r>
      <w:r>
        <w:rPr>
          <w:b/>
          <w:bCs/>
        </w:rPr>
        <w:t>substituted property</w:t>
      </w:r>
      <w:r>
        <w:t>”) that is the same as or identical to the property disposed of, within 30 days before and 30 days after the disposition and the Fund, or a person affiliated with the Fund, owns the substituted property 30 days after the original disposition. If a loss is suspended, the Fund cannot deduct the loss from the Fund’s capital gains until the substituted property is disposed of and is not reacquired by the Fund, or a person affiliated with the Fund, within 30 days before and after the disposition.</w:t>
      </w:r>
    </w:p>
    <w:p w14:paraId="4FCF1F9D" w14:textId="1D501BF4" w:rsidR="002238EA" w:rsidRDefault="002238EA" w:rsidP="002238EA">
      <w:r>
        <w:t xml:space="preserve">The Fund may </w:t>
      </w:r>
      <w:proofErr w:type="gramStart"/>
      <w:r>
        <w:t>enter into</w:t>
      </w:r>
      <w:proofErr w:type="gramEnd"/>
      <w:r>
        <w:t xml:space="preserve"> transactions denominated in currencies other than the Canadian dollar, including </w:t>
      </w:r>
      <w:r w:rsidR="006967A3">
        <w:t xml:space="preserve">the </w:t>
      </w:r>
      <w:r>
        <w:t xml:space="preserve">acquisition of securities in its portfolio. The cost and proceeds of disposition of securities and all other amounts are determined for purposes of the Tax Act in Canadian dollars using appropriate exchange rates determined in accordance with the detailed rules in the Tax Act in that regard. In addition, the Fund is required to compute its net income and net realized capital gains in Canadian dollars in accordance with the detailed rules in the Tax Act and may, </w:t>
      </w:r>
      <w:proofErr w:type="gramStart"/>
      <w:r>
        <w:t>as a consequence</w:t>
      </w:r>
      <w:proofErr w:type="gramEnd"/>
      <w:r>
        <w:t xml:space="preserve">, realize income or capital gains by virtue of changes in the value of the relevant foreign currency relative to the Canadian dollar. </w:t>
      </w:r>
    </w:p>
    <w:p w14:paraId="57FC9869" w14:textId="77777777" w:rsidR="002238EA" w:rsidRDefault="002238EA" w:rsidP="002238EA">
      <w:r>
        <w:t>The Fund may derive income or gains from investments in countries other than Canada, and as a result, may be liable to pay income or profits tax to such countries. To the extent that such foreign tax paid by the Fund exceeds 15% of the amount included in the Fund’s income from such investments, such excess may generally be deducted by the Fund in computing its net income for the purposes of the Tax Act. To the extent that such foreign tax paid does not exceed 15% of such amount and has not been deducted in computing the Fund’s income, the Fund may designate in respect of a Unitholder a portion of its foreign source income that can reasonably be considered to be part of the Fund’s income distributed to such Unitholder so that such income and a portion of the foreign tax paid by the Fund may be regarded as foreign source income of, and foreign tax paid by, the Unitholder for the purposes of the foreign tax credit provisions of the Tax Act.</w:t>
      </w:r>
    </w:p>
    <w:p w14:paraId="106FCDD6" w14:textId="77777777" w:rsidR="002238EA" w:rsidRDefault="002238EA" w:rsidP="002238EA">
      <w:r>
        <w:t>In computing its income for tax purposes, the Fund is required to include in its income for each taxation year any dividends received (or deemed to be received) by it in such year on a security included in the portfolio of the Fund.</w:t>
      </w:r>
    </w:p>
    <w:p w14:paraId="2C384E7B" w14:textId="0F146E7D" w:rsidR="002238EA" w:rsidRDefault="002238EA" w:rsidP="002238EA">
      <w:r>
        <w:t>The Tax Act provides that</w:t>
      </w:r>
      <w:r w:rsidR="006607A2">
        <w:t>,</w:t>
      </w:r>
      <w:r>
        <w:t xml:space="preserve"> in certain circumstances</w:t>
      </w:r>
      <w:r w:rsidR="006607A2">
        <w:t>,</w:t>
      </w:r>
      <w:r>
        <w:t xml:space="preserve"> a trust (other than a trust that throughout the taxation year is a mutual fund trust) may become liable for alternative minimum tax for the taxation </w:t>
      </w:r>
      <w:r>
        <w:lastRenderedPageBreak/>
        <w:t>year. Provided that the Fund is and remains a mutual fund trust throughout each taxation year, the Fund will not be liable for alternative minimum tax under the Tax Act.</w:t>
      </w:r>
    </w:p>
    <w:p w14:paraId="07277FF5" w14:textId="77777777" w:rsidR="002238EA" w:rsidRDefault="002238EA" w:rsidP="002238EA">
      <w:r>
        <w:t xml:space="preserve">The Tax Act provides for a special tax on the designated income of certain trusts (other than mutual fund trusts) that have designated beneficiaries. This tax does not apply in a taxation year to a trust that was a mutual fund trust within the meaning of the Tax Act throughout the year. The Manager anticipates that the Fund will be a mutual fund trust under the Tax Act throughout the taxation year and, accordingly, it is expected that the Fund will not have any liability with respect to this special tax. </w:t>
      </w:r>
    </w:p>
    <w:p w14:paraId="1164811F" w14:textId="77777777" w:rsidR="002238EA" w:rsidRDefault="002238EA" w:rsidP="002238EA">
      <w:r>
        <w:t xml:space="preserve">The Fund is entitled to deduct an amount equal to the reasonable expenses that it incurs </w:t>
      </w:r>
      <w:proofErr w:type="gramStart"/>
      <w:r>
        <w:t>in the course of</w:t>
      </w:r>
      <w:proofErr w:type="gramEnd"/>
      <w:r>
        <w:t xml:space="preserve"> issuing Units. Such issue expenses paid by the Fund and not reimbursed will be deductible by the Fund rateably over a five-year period subject to reduction in any taxation year which is less than 365 days. In computing its income under the Tax Act, the Fund may deduct reasonable administrative and other expenses incurred to earn income.</w:t>
      </w:r>
    </w:p>
    <w:p w14:paraId="2F151960" w14:textId="3F6A960E" w:rsidR="00D57E16" w:rsidRDefault="002238EA" w:rsidP="002238EA">
      <w:r>
        <w:t xml:space="preserve">The Fund is taxed as a single entity, notwithstanding that its Units are divided into series. Accordingly, the taxable income of the Fund will be determined for the Fund as a whole, </w:t>
      </w:r>
      <w:proofErr w:type="gramStart"/>
      <w:r>
        <w:t>taking into account</w:t>
      </w:r>
      <w:proofErr w:type="gramEnd"/>
      <w:r>
        <w:t xml:space="preserve"> all of the expenses (including management fees) of the Fund whether such expenses are common expenses or attributable to a particular series. In certain circumstances, this may result in expenses attributable to one series being used to reduce the income attributable to another series.</w:t>
      </w:r>
    </w:p>
    <w:p w14:paraId="023E3BF7" w14:textId="39AA08F8" w:rsidR="004D129B" w:rsidRPr="00694DA1" w:rsidRDefault="004D129B" w:rsidP="004D129B">
      <w:pPr>
        <w:pStyle w:val="Heading2"/>
      </w:pPr>
      <w:bookmarkStart w:id="88" w:name="_Toc133828652"/>
      <w:r>
        <w:t>Taxation of Individual Unitholders</w:t>
      </w:r>
      <w:bookmarkEnd w:id="88"/>
    </w:p>
    <w:p w14:paraId="3B5DF89C" w14:textId="62E12E65" w:rsidR="00F230A7" w:rsidRDefault="00F230A7" w:rsidP="00F230A7">
      <w:r>
        <w:t>A Unitholder is generally required to include in computing income for purposes of the Tax Act the amount of any net income including net taxable capital gains of the Fund for each taxation year (computed prior to the deduction of amounts payable to the Unitholder for the year) which is paid or payable to the Unitholder in the calendar year in which such taxation year ends, whether such amount is reinvested in additional Units of the Fund or paid to the Unitholder in cash. The Declaration provides that the annual net income (including net realized capital gains less unapplied capital losses from prior years) of the Fund for a taxation year will be paid to Unitholders in the calendar year in which such taxation year ends and distributed to the extent and in the manner described under “Taxation of the Fund”</w:t>
      </w:r>
      <w:r w:rsidR="005C04FA">
        <w:t xml:space="preserve">. </w:t>
      </w:r>
      <w:r>
        <w:t xml:space="preserve">Any loss of the Fund for purposes of the Tax Act cannot be allocated to, and cannot be treated as a loss of, a Unitholder. </w:t>
      </w:r>
    </w:p>
    <w:p w14:paraId="1F17513E" w14:textId="77777777" w:rsidR="00F230A7" w:rsidRDefault="00F230A7" w:rsidP="00F230A7">
      <w:r>
        <w:t xml:space="preserve">In general, provided the appropriate designations are made by the Fund, Unitholders will be subject to tax under the Tax Act on their allocated portion of dividends from taxable Canadian corporations, foreign source income and net taxable capital gains of the Fund for a year in the same manner as if such amounts had been received directly by the Unitholder. Accordingly, such amounts will generally retain their character and source for tax purposes, including for the purposes of determining a Unitholder’s entitlement to the dividend tax credit and the foreign tax credit under the Tax Act. An enhanced gross-up and dividend tax credit is available on eligible dividends received from a corporation resident in Canada which are so designated by the Fund. Amounts designated as taxable dividends from taxable Canadian corporations or as net realized taxable capital gains will also be </w:t>
      </w:r>
      <w:proofErr w:type="gramStart"/>
      <w:r>
        <w:t>taken into account</w:t>
      </w:r>
      <w:proofErr w:type="gramEnd"/>
      <w:r>
        <w:t xml:space="preserve"> in determining the Unitholder’s liability, if any, for alternative minimum tax under the Tax Act.</w:t>
      </w:r>
    </w:p>
    <w:p w14:paraId="5C947676" w14:textId="7D12FB2E" w:rsidR="00F230A7" w:rsidRDefault="00F230A7" w:rsidP="00F230A7">
      <w:r>
        <w:t xml:space="preserve">Under the Tax Act, the Fund is permitted to deduct in computing its income for a taxation year an amount that is less than the amount of its distributions of income for the calendar year to the extent necessary to enable the Fund to use, in that taxation year, losses from prior years without </w:t>
      </w:r>
      <w:r>
        <w:lastRenderedPageBreak/>
        <w:t xml:space="preserve">affecting the ability of the Fund to distribute its income annually. In such circumstances, the amount distributed to a Unitholder but not deducted by the Fund will not be included in the Unitholder’s income. However, the adjusted cost base of the Unitholder’s Units will be reduced by such amount. The non-taxable portion of the Fund’s net realized capital gains for a taxation year, the taxable portion of which was designated in respect of a Unitholder for the taxation year, that is paid or becomes payable to the Unitholder for the year will not be included in computing the Unitholder’s income for the year. Any other amount </w:t>
      </w:r>
      <w:proofErr w:type="gramStart"/>
      <w:r>
        <w:t>in excess of</w:t>
      </w:r>
      <w:proofErr w:type="gramEnd"/>
      <w:r>
        <w:t xml:space="preserve"> a Unitholder’s share of the net income of the </w:t>
      </w:r>
      <w:r w:rsidR="00807C0C">
        <w:t>F</w:t>
      </w:r>
      <w:r>
        <w:t>und for a taxation year that is paid or becomes payable to the Unitholder for the year (i.e.</w:t>
      </w:r>
      <w:r w:rsidR="00A95357">
        <w:t>,</w:t>
      </w:r>
      <w:r>
        <w:t xml:space="preserve"> returns of capital) will not generally be included in the Unitholder’s income for the year, but will reduce the adjusted cost base of the Unitholder’s Units. To the extent that the adjusted cost base of a Unit to a Unitholder would otherwise be a negative amount, the negative amount will be deemed to be a capital gain and the adjusted cost base of the Unit to the Unitholder will be increased by the amount of such deemed capital gain to zero.</w:t>
      </w:r>
    </w:p>
    <w:p w14:paraId="32AF8AE5" w14:textId="77777777" w:rsidR="00271623" w:rsidRDefault="00F230A7" w:rsidP="00F230A7">
      <w:r>
        <w:t xml:space="preserve">Upon the redemption or other disposition of a Unit, a Unitholder will realize a capital gain (or a capital loss) to the extent that the proceeds of disposition of the Unit (which do not include any amount of capital gains payable by the Fund to a redeeming Unitholder), net of any reasonable expenses of disposition (including redemption fees), exceed (or are exceeded by) the Unitholder’s adjusted cost base of the Unit as determined for the purposes of the Tax Act. </w:t>
      </w:r>
    </w:p>
    <w:p w14:paraId="4015B4B4" w14:textId="4AE16B7D" w:rsidR="00271623" w:rsidRDefault="00271623" w:rsidP="00F230A7">
      <w:r>
        <w:t xml:space="preserve">The adjusted cost base of a Unit of a series of the Fund is generally equal to the total of all amounts that the Unitholder paid to purchase such Unit, plus the amount of any distributions on such Unit that were satisfied through the issuance of additional Units of that series or reinvested in additional Units of that series, less the adjusted cost base of any Units of that series previously redeemed by the Unitholder, less any distributions of capital on the Units of that series, with certain adjustments. </w:t>
      </w:r>
      <w:proofErr w:type="gramStart"/>
      <w:r>
        <w:t>For the purpose of</w:t>
      </w:r>
      <w:proofErr w:type="gramEnd"/>
      <w:r>
        <w:t xml:space="preserve"> determining the adjusted cost base of Units of a particular series to a Unitholder, when Units of that series are acquired, the cost of the newly acquired Units of that series will be averaged with the adjusted cost base of all Units of the same series owned by the Unitholder as capital property immediately before that time. The cost of Units acquired as a distribution from the Fund will generally be equal to the amount of the distribution.</w:t>
      </w:r>
    </w:p>
    <w:p w14:paraId="5670D925" w14:textId="77777777" w:rsidR="00F230A7" w:rsidRDefault="00F230A7" w:rsidP="00F230A7">
      <w:r>
        <w:t>Based in part on the current published administrative policies and assessing practices of the CRA, a switch from one series of the Fund to another series of the Fund is generally not considered a disposition for tax purposes.</w:t>
      </w:r>
    </w:p>
    <w:p w14:paraId="424741A0" w14:textId="77777777" w:rsidR="00F230A7" w:rsidRDefault="00F230A7" w:rsidP="00F230A7">
      <w:r>
        <w:t xml:space="preserve">One-half of any capital gains realized by a Unitholder or taxable capital gains designated by the Fund in respect of a Unitholder in a taxation year of the Unitholder will be included in computing the income of the Unitholder as taxable capital gains for the year and one-half of any capital losses realized by the Unitholder in a taxation year of the Unitholder must be deducted as allowable capital losses against taxable capital gains for the year in accordance with the provisions of the Tax Act. Allowable capital losses for a taxation year of the Unitholder </w:t>
      </w:r>
      <w:proofErr w:type="gramStart"/>
      <w:r>
        <w:t>in excess of</w:t>
      </w:r>
      <w:proofErr w:type="gramEnd"/>
      <w:r>
        <w:t xml:space="preserve"> taxable capital gains for the year may be carried back and deducted in any of the three preceding taxation years or carried forward and deducted in any subsequent taxation year against taxable capital gains in accordance with the provisions of the Tax Act. Taxable capital gains realized by a Unitholder on a disposition of Units will be </w:t>
      </w:r>
      <w:proofErr w:type="gramStart"/>
      <w:r>
        <w:t>taken into account</w:t>
      </w:r>
      <w:proofErr w:type="gramEnd"/>
      <w:r>
        <w:t xml:space="preserve"> in determining the Unitholder’s liability, if any, for alternative minimum tax under the Tax Act. A consolidation of Units following a distribution paid in the form of additional Units or automatic reinvestment of cash distributions will not be regarded as a disposition of Units and will not affect the aggregate adjusted cost base of Units to a Unitholder.</w:t>
      </w:r>
    </w:p>
    <w:p w14:paraId="42AD6128" w14:textId="6CA9F58F" w:rsidR="00F230A7" w:rsidRDefault="00F230A7" w:rsidP="00F230A7">
      <w:r>
        <w:lastRenderedPageBreak/>
        <w:t xml:space="preserve">The Manager may distribute, allocate and designate as payable to redeeming Unitholders capital gains realized by the Fund in connection with the disposition of securities required </w:t>
      </w:r>
      <w:proofErr w:type="gramStart"/>
      <w:r>
        <w:t>in order to</w:t>
      </w:r>
      <w:proofErr w:type="gramEnd"/>
      <w:r>
        <w:t xml:space="preserve"> fund a redemption. In addition, the Manager may distribute, allocate and designate any capital gains of the Fund to a Unitholder who has redeemed Units during a year in an amount equal to the Unitholder’s share, at the time of redemption, of the Fund’s capital gains for the year. Any such distributions, allocations and designations will reduce the redemption price otherwise payable to the redeeming Unitholder. Based on recent amendments to the Tax Act, an amount so allocated and designated to a redeeming Unitholder generally will only be deductible to the Fund to the extent of the gain that would otherwise be realized by the Unitholder on the redemption of Units. </w:t>
      </w:r>
    </w:p>
    <w:p w14:paraId="107500B1" w14:textId="77777777" w:rsidR="00F230A7" w:rsidRDefault="00F230A7" w:rsidP="00F230A7">
      <w:r>
        <w:t>Series O Unitholders should consult their own tax advisors regarding the tax treatment of management fees paid directly by the Unitholder.</w:t>
      </w:r>
    </w:p>
    <w:p w14:paraId="770B5AE5" w14:textId="73A852E0" w:rsidR="004D129B" w:rsidRPr="00D57E16" w:rsidRDefault="00F230A7" w:rsidP="00F230A7">
      <w:r>
        <w:t xml:space="preserve">Where the Fund pays or makes payable an amount after December 15 and before the end of the calendar year, such amount is deemed to have been paid or to have become payable at the end of the Fund’s taxation year. Since capital gains of the Fund are paid and allocated only in the year that they are realized and income and net realized capital gains are distributed on a periodic basis, prospective purchasers acquiring Units of the Fund may incur tax on gains in the Fund that are unrealized, and gains that have been realized or income that has been earned by the Fund but not distributed at such time as the Units are acquired. Moreover, Unitholders who acquire their Units after December 15 and on or before December 31 of that year may incur tax on income earned or capital gains realized by the Fund for its taxation year ended </w:t>
      </w:r>
      <w:proofErr w:type="gramStart"/>
      <w:r>
        <w:t>December 15, before</w:t>
      </w:r>
      <w:proofErr w:type="gramEnd"/>
      <w:r>
        <w:t xml:space="preserve"> the Unitholder acquired the Units.</w:t>
      </w:r>
    </w:p>
    <w:p w14:paraId="16020E1C" w14:textId="67E410A0" w:rsidR="000F6A04" w:rsidRPr="000F6A04" w:rsidRDefault="00BF3D6B" w:rsidP="000F6A04">
      <w:pPr>
        <w:pStyle w:val="Heading2"/>
      </w:pPr>
      <w:bookmarkStart w:id="89" w:name="_Toc133828653"/>
      <w:bookmarkStart w:id="90" w:name="_Hlk130481290"/>
      <w:r w:rsidRPr="00694DA1">
        <w:t>Units Held in Registered Plans</w:t>
      </w:r>
      <w:bookmarkEnd w:id="89"/>
      <w:r w:rsidRPr="00694DA1">
        <w:t xml:space="preserve"> </w:t>
      </w:r>
    </w:p>
    <w:p w14:paraId="6C582D47" w14:textId="05723D99" w:rsidR="000F6A04" w:rsidRDefault="000F6A04" w:rsidP="000F6A04">
      <w:r>
        <w:t xml:space="preserve">Provided the Fund qualifies as a “mutual fund trust” under the Tax Act, Units of the Fund will be </w:t>
      </w:r>
      <w:r w:rsidR="00A20606">
        <w:t>“</w:t>
      </w:r>
      <w:r>
        <w:t>qualified investments</w:t>
      </w:r>
      <w:r w:rsidR="00A20606">
        <w:t>”</w:t>
      </w:r>
      <w:r>
        <w:t xml:space="preserve"> </w:t>
      </w:r>
      <w:r w:rsidR="0083435F">
        <w:t xml:space="preserve">under the Tax Act </w:t>
      </w:r>
      <w:r>
        <w:t>for</w:t>
      </w:r>
      <w:r w:rsidR="0083435F">
        <w:t xml:space="preserve"> </w:t>
      </w:r>
      <w:r w:rsidR="00A20606">
        <w:t xml:space="preserve">a trust </w:t>
      </w:r>
      <w:r w:rsidR="0083435F">
        <w:t>governed by</w:t>
      </w:r>
      <w:r w:rsidR="00A20606">
        <w:t xml:space="preserve"> a</w:t>
      </w:r>
      <w:r w:rsidR="0083435F">
        <w:t xml:space="preserve"> registered retirement savings plan (“</w:t>
      </w:r>
      <w:r w:rsidR="0083435F">
        <w:rPr>
          <w:b/>
          <w:bCs/>
        </w:rPr>
        <w:t>RRSP</w:t>
      </w:r>
      <w:r w:rsidR="0083435F">
        <w:t>”), registered retirement income fund (“</w:t>
      </w:r>
      <w:r w:rsidR="0083435F">
        <w:rPr>
          <w:b/>
          <w:bCs/>
        </w:rPr>
        <w:t>RRIF</w:t>
      </w:r>
      <w:r w:rsidR="0083435F">
        <w:t>”), deferred profit sharing plan (“</w:t>
      </w:r>
      <w:r w:rsidR="0083435F">
        <w:rPr>
          <w:b/>
          <w:bCs/>
        </w:rPr>
        <w:t>DPSP</w:t>
      </w:r>
      <w:r w:rsidR="0083435F">
        <w:t>”),</w:t>
      </w:r>
      <w:r w:rsidR="008B36E6">
        <w:t xml:space="preserve"> </w:t>
      </w:r>
      <w:r w:rsidR="0083435F">
        <w:t>registered disability savings plan (“</w:t>
      </w:r>
      <w:r w:rsidR="0083435F">
        <w:rPr>
          <w:b/>
          <w:bCs/>
        </w:rPr>
        <w:t>RDSP</w:t>
      </w:r>
      <w:r w:rsidR="0083435F">
        <w:t>”), registered education savings plan (“</w:t>
      </w:r>
      <w:r w:rsidR="0083435F">
        <w:rPr>
          <w:b/>
          <w:bCs/>
        </w:rPr>
        <w:t>RESP</w:t>
      </w:r>
      <w:r w:rsidR="0083435F">
        <w:t>”), tax-free savings account (“</w:t>
      </w:r>
      <w:r w:rsidR="0083435F">
        <w:rPr>
          <w:b/>
          <w:bCs/>
        </w:rPr>
        <w:t>TFSA</w:t>
      </w:r>
      <w:r w:rsidR="0083435F">
        <w:t>”), or first home savings account (“</w:t>
      </w:r>
      <w:r w:rsidR="0083435F">
        <w:rPr>
          <w:b/>
          <w:bCs/>
        </w:rPr>
        <w:t>FHSA</w:t>
      </w:r>
      <w:r w:rsidR="0083435F">
        <w:t>”</w:t>
      </w:r>
      <w:r w:rsidR="00F3665F">
        <w:t xml:space="preserve">, and </w:t>
      </w:r>
      <w:r w:rsidR="0083435F">
        <w:t>each a “</w:t>
      </w:r>
      <w:r w:rsidRPr="0083435F">
        <w:rPr>
          <w:b/>
          <w:bCs/>
        </w:rPr>
        <w:t>Registered Plan</w:t>
      </w:r>
      <w:r w:rsidR="0083435F">
        <w:t>”)</w:t>
      </w:r>
      <w:r>
        <w:t>. The proceeds of redemption of Units and amounts of income including net realized taxable capital gains distributed by the Fund to Registered Plans are generally not taxable while retained by such Registered Plans.</w:t>
      </w:r>
      <w:r w:rsidR="00A92080">
        <w:t xml:space="preserve"> Withdrawals from Registered Plans (other than a TFSA and certain withdrawals from an RDSP, RESP or FHSA) are generally subject to tax under the Tax Act. </w:t>
      </w:r>
      <w:r>
        <w:t xml:space="preserve">Investors are urged to consult with their own tax advisors regarding the implications of establishing, maintaining, amending, </w:t>
      </w:r>
      <w:proofErr w:type="gramStart"/>
      <w:r>
        <w:t>terminating</w:t>
      </w:r>
      <w:proofErr w:type="gramEnd"/>
      <w:r>
        <w:t xml:space="preserve"> or withdrawing amounts from a Registered Plan under the Tax Act.</w:t>
      </w:r>
    </w:p>
    <w:p w14:paraId="0DCDDF07" w14:textId="4755F7B4" w:rsidR="000F6A04" w:rsidRDefault="000F6A04" w:rsidP="000F6A04">
      <w:r>
        <w:t>The Units of the Fund will not be a “prohibited investment” for trusts governed by a TFSA, RDSP, RRSP, RRIF</w:t>
      </w:r>
      <w:r w:rsidR="006A2B13">
        <w:t xml:space="preserve">, </w:t>
      </w:r>
      <w:r>
        <w:t xml:space="preserve">RESP </w:t>
      </w:r>
      <w:r w:rsidR="006A2B13">
        <w:t xml:space="preserve">or FHSA </w:t>
      </w:r>
      <w:r>
        <w:t>unless the holder of the TFSA</w:t>
      </w:r>
      <w:r w:rsidR="006A2B13">
        <w:t xml:space="preserve">, </w:t>
      </w:r>
      <w:r>
        <w:t>RDSP</w:t>
      </w:r>
      <w:r w:rsidR="006A2B13">
        <w:t xml:space="preserve"> or FHSA</w:t>
      </w:r>
      <w:r>
        <w:t>, annuitant under the RRSP or RRIF</w:t>
      </w:r>
      <w:r w:rsidR="00901672">
        <w:t>,</w:t>
      </w:r>
      <w:r>
        <w:t xml:space="preserve"> or subscriber of the RESP, as applicable, (i) does not deal at arm’s length with the Fund for purposes of the Tax Act, or (ii) has a “significant interest” as defined in the Tax Act in the Fund. Generally, a holder, annuitant or subscriber, as the case may be, will not have a significant interest in the Fund unless the holder, annuitant or subscriber, as the case may be, owns interests as a beneficiary under the Fund that have a fair market value of 10% or more of the fair market value of the interests of all beneficiaries under the Fund, either alone or together with persons and partnerships with which the holder, annuitant or subscriber, as the case may be, does not deal at arm’s length. In addition, the Units of the Fund will not be a “prohibited investment” if such units are “excluded property” as defined in the Tax Act for trusts governed by a TFSA, RDSP, RRSP, RRIF</w:t>
      </w:r>
      <w:r w:rsidR="0001093B">
        <w:t xml:space="preserve">, </w:t>
      </w:r>
      <w:r>
        <w:t>RESP</w:t>
      </w:r>
      <w:r w:rsidR="0001093B">
        <w:t xml:space="preserve"> or FHSA</w:t>
      </w:r>
      <w:r>
        <w:t xml:space="preserve">. </w:t>
      </w:r>
    </w:p>
    <w:p w14:paraId="2DF1C81E" w14:textId="77777777" w:rsidR="000F6A04" w:rsidRDefault="000F6A04" w:rsidP="000F6A04">
      <w:r>
        <w:lastRenderedPageBreak/>
        <w:t xml:space="preserve">Holders, </w:t>
      </w:r>
      <w:proofErr w:type="gramStart"/>
      <w:r>
        <w:t>annuitants</w:t>
      </w:r>
      <w:proofErr w:type="gramEnd"/>
      <w:r>
        <w:t xml:space="preserve"> or subscribers should consult their own tax advisors with respect to whether Units of the Fund would be prohibited investments in their particular circumstances, including with respect to whether such Units would be excluded property.</w:t>
      </w:r>
    </w:p>
    <w:p w14:paraId="19FD8480" w14:textId="2F96DFB2" w:rsidR="000F6A04" w:rsidRPr="000F6A04" w:rsidRDefault="000F6A04" w:rsidP="000F6A04">
      <w:r>
        <w:t xml:space="preserve">Investors are responsible for complying with the relevant income tax legislation in acquiring or holding Units through a Registered Plan and the Fund assumes no liability to such persons </w:t>
      </w:r>
      <w:proofErr w:type="gramStart"/>
      <w:r>
        <w:t>as a result of</w:t>
      </w:r>
      <w:proofErr w:type="gramEnd"/>
      <w:r>
        <w:t xml:space="preserve"> making Units of the Fund available for investment.</w:t>
      </w:r>
    </w:p>
    <w:p w14:paraId="637E5DF1" w14:textId="77777777" w:rsidR="00D5533B" w:rsidRPr="00694DA1" w:rsidRDefault="00D5533B" w:rsidP="00D5533B">
      <w:pPr>
        <w:pStyle w:val="Heading1"/>
        <w:rPr>
          <w:lang w:val="en-US"/>
        </w:rPr>
      </w:pPr>
      <w:bookmarkStart w:id="91" w:name="_Toc133828654"/>
      <w:bookmarkStart w:id="92" w:name="_Toc531895542"/>
      <w:bookmarkStart w:id="93" w:name="_Toc531895620"/>
      <w:bookmarkStart w:id="94" w:name="_Toc531896281"/>
      <w:bookmarkEnd w:id="90"/>
      <w:r w:rsidRPr="00694DA1">
        <w:rPr>
          <w:lang w:val="en-US"/>
        </w:rPr>
        <w:t>International Information Reporting</w:t>
      </w:r>
      <w:bookmarkEnd w:id="91"/>
    </w:p>
    <w:p w14:paraId="0062E061" w14:textId="0604F744" w:rsidR="00591333" w:rsidRPr="003965AB" w:rsidRDefault="00591333" w:rsidP="00591333">
      <w:pPr>
        <w:pStyle w:val="BodyText"/>
      </w:pPr>
      <w:bookmarkStart w:id="95" w:name="_Toc531895551"/>
      <w:bookmarkStart w:id="96" w:name="_Toc531895629"/>
      <w:bookmarkStart w:id="97" w:name="_Toc531896290"/>
      <w:bookmarkStart w:id="98" w:name="_Toc133828655"/>
      <w:bookmarkEnd w:id="92"/>
      <w:bookmarkEnd w:id="93"/>
      <w:bookmarkEnd w:id="94"/>
      <w:r w:rsidRPr="003965AB">
        <w:rPr>
          <w:lang w:val="en-US"/>
        </w:rPr>
        <w:t xml:space="preserve">The Tax Act includes provisions which implement the Organization for Economic Co-operation and Development Common Reporting Standard </w:t>
      </w:r>
      <w:r>
        <w:rPr>
          <w:lang w:val="en-US"/>
        </w:rPr>
        <w:t>(the “</w:t>
      </w:r>
      <w:r w:rsidRPr="00A471DF">
        <w:rPr>
          <w:b/>
          <w:bCs/>
          <w:lang w:val="en-US"/>
        </w:rPr>
        <w:t>CRS</w:t>
      </w:r>
      <w:r>
        <w:rPr>
          <w:lang w:val="en-US"/>
        </w:rPr>
        <w:t xml:space="preserve">”) </w:t>
      </w:r>
      <w:r w:rsidRPr="00A471DF">
        <w:rPr>
          <w:lang w:val="en-US"/>
        </w:rPr>
        <w:t>and</w:t>
      </w:r>
      <w:r w:rsidRPr="003965AB">
        <w:rPr>
          <w:lang w:val="en-US"/>
        </w:rPr>
        <w:t xml:space="preserve"> the Canada-United States Enhanced Tax Information Exchange Agreement (the </w:t>
      </w:r>
      <w:r>
        <w:rPr>
          <w:lang w:val="en-US"/>
        </w:rPr>
        <w:t>“</w:t>
      </w:r>
      <w:r w:rsidRPr="00566F46">
        <w:rPr>
          <w:b/>
          <w:bCs/>
          <w:lang w:val="en-US"/>
        </w:rPr>
        <w:t>International Information Exchange Legislation</w:t>
      </w:r>
      <w:r>
        <w:rPr>
          <w:lang w:val="en-US"/>
        </w:rPr>
        <w:t>”</w:t>
      </w:r>
      <w:r w:rsidRPr="003965AB">
        <w:rPr>
          <w:lang w:val="en-US"/>
        </w:rPr>
        <w:t xml:space="preserve">). Pursuant to the International Information Exchange Legislation, certain </w:t>
      </w:r>
      <w:r w:rsidR="00922389">
        <w:rPr>
          <w:lang w:val="en-US"/>
        </w:rPr>
        <w:t>“</w:t>
      </w:r>
      <w:r w:rsidRPr="003965AB">
        <w:rPr>
          <w:lang w:val="en-US"/>
        </w:rPr>
        <w:t>Canadian financial institution</w:t>
      </w:r>
      <w:r w:rsidR="00CC1E9F">
        <w:rPr>
          <w:lang w:val="en-US"/>
        </w:rPr>
        <w:t>s”</w:t>
      </w:r>
      <w:r w:rsidRPr="003965AB">
        <w:rPr>
          <w:lang w:val="en-US"/>
        </w:rPr>
        <w:t xml:space="preserve"> (as defined in the International Information Exchange Legislation) are required to have procedures in place, in general terms, to identify accounts held by tax residents of foreign countries or by certain entities organized in, or the </w:t>
      </w:r>
      <w:r w:rsidR="00A34CE3">
        <w:rPr>
          <w:lang w:val="en-US"/>
        </w:rPr>
        <w:t>“</w:t>
      </w:r>
      <w:r w:rsidRPr="003965AB">
        <w:rPr>
          <w:lang w:val="en-US"/>
        </w:rPr>
        <w:t>controlling persons</w:t>
      </w:r>
      <w:r w:rsidR="00A34CE3">
        <w:rPr>
          <w:lang w:val="en-US"/>
        </w:rPr>
        <w:t>”</w:t>
      </w:r>
      <w:r w:rsidRPr="003965AB">
        <w:rPr>
          <w:lang w:val="en-US"/>
        </w:rPr>
        <w:t xml:space="preserve"> of which are tax resident in, a foreign country (or, in the case of the U.S., of which the holder or any such controlling person is a citizen or tax resident, including U.S. persons not residing in the U.S.) and to report required information to the CRA. Under the International Information Exchange Legislation, Unitholders may be required to provide certain information including citizenship, tax residence and tax identification numbers, which information may be required to be reported to the CRA unless the investment is held within </w:t>
      </w:r>
      <w:r>
        <w:rPr>
          <w:lang w:val="en-US"/>
        </w:rPr>
        <w:t xml:space="preserve">a </w:t>
      </w:r>
      <w:r w:rsidRPr="003965AB">
        <w:rPr>
          <w:lang w:val="en-US"/>
        </w:rPr>
        <w:t>Registered Plan</w:t>
      </w:r>
      <w:r>
        <w:rPr>
          <w:lang w:val="en-US"/>
        </w:rPr>
        <w:t xml:space="preserve"> (other than an FHSA)</w:t>
      </w:r>
      <w:r w:rsidRPr="003965AB">
        <w:rPr>
          <w:lang w:val="en-US"/>
        </w:rPr>
        <w:t>. Such information is exchanged by the CRA on a reciprocal, bilateral basis with the countries in which the account holder or any such controlling person is tax resident (or of which such holder or person is a citizen or tax resident, where applicable), where such countries (including the U.S.) have agreed to a bilateral information exchange with Canada to which the International Information Exchange Legislation applies.</w:t>
      </w:r>
      <w:r>
        <w:rPr>
          <w:lang w:val="en-US"/>
        </w:rPr>
        <w:t xml:space="preserve"> The Tax Act does not currently address whether FHSAs would be treated in the same way as other Registered Plans for these purposes; however, the Department of Finance indicated in a </w:t>
      </w:r>
      <w:r w:rsidR="00A34CE3">
        <w:rPr>
          <w:lang w:val="en-US"/>
        </w:rPr>
        <w:t>“</w:t>
      </w:r>
      <w:r>
        <w:rPr>
          <w:lang w:val="en-US"/>
        </w:rPr>
        <w:t>comfort letter” provided to the Investment Funds Institute of Canada in January 2023 that it is prepared to recommend that the Tax Act be amended to exempt FHSAs from the provisions of the Tax Act that implement the CRS, although no assurances can be given that this recommendation will be accepted.</w:t>
      </w:r>
    </w:p>
    <w:p w14:paraId="02848E3A" w14:textId="692520C5" w:rsidR="00D5533B" w:rsidRPr="00E76E47" w:rsidRDefault="00D5533B" w:rsidP="00D5533B">
      <w:pPr>
        <w:pStyle w:val="Heading1"/>
      </w:pPr>
      <w:r w:rsidRPr="00E76E47">
        <w:rPr>
          <w:rFonts w:eastAsiaTheme="minorHAnsi"/>
        </w:rPr>
        <w:t xml:space="preserve">What </w:t>
      </w:r>
      <w:r w:rsidR="00291F66">
        <w:rPr>
          <w:rFonts w:eastAsiaTheme="minorHAnsi"/>
        </w:rPr>
        <w:t>Are Your Legal Rights</w:t>
      </w:r>
      <w:r w:rsidRPr="00E76E47">
        <w:rPr>
          <w:rFonts w:eastAsiaTheme="minorHAnsi"/>
        </w:rPr>
        <w:t>?</w:t>
      </w:r>
      <w:bookmarkEnd w:id="95"/>
      <w:bookmarkEnd w:id="96"/>
      <w:bookmarkEnd w:id="97"/>
      <w:bookmarkEnd w:id="98"/>
    </w:p>
    <w:p w14:paraId="3250F095" w14:textId="77777777" w:rsidR="00D5533B" w:rsidRPr="00E76E47" w:rsidRDefault="00D5533B" w:rsidP="00D5533B">
      <w:pPr>
        <w:pStyle w:val="BodyText"/>
      </w:pPr>
      <w:r w:rsidRPr="00E76E47">
        <w:t>Securities legislation in some provinces gives you the right to withdraw from an agreement to buy units within two business days of receiving the Simplified Prospectus or Fund Facts, or to cancel your purchase within 48 hours of receiving confirmation of its order.</w:t>
      </w:r>
    </w:p>
    <w:p w14:paraId="662A4FBB" w14:textId="748D6C4E" w:rsidR="00D5533B" w:rsidRPr="00E76E47" w:rsidRDefault="00D5533B" w:rsidP="00D5533B">
      <w:pPr>
        <w:pStyle w:val="BodyText"/>
      </w:pPr>
      <w:r w:rsidRPr="00E76E47">
        <w:t>Securities legislation in some provinces and territories also allows you to cancel an agreement to buy units and get your money back, or to make a claim for damages, if the Simplified Prospectus</w:t>
      </w:r>
      <w:r w:rsidR="00F337CC" w:rsidRPr="00E76E47">
        <w:t xml:space="preserve">, </w:t>
      </w:r>
      <w:r w:rsidRPr="00E76E47">
        <w:t xml:space="preserve">Fund </w:t>
      </w:r>
      <w:proofErr w:type="gramStart"/>
      <w:r w:rsidRPr="00E76E47">
        <w:t>Facts</w:t>
      </w:r>
      <w:proofErr w:type="gramEnd"/>
      <w:r w:rsidRPr="00E76E47">
        <w:t xml:space="preserve"> or financial statements misrepresent any facts about the Fund.  These rights must usually be exercised within certain time limits.</w:t>
      </w:r>
    </w:p>
    <w:p w14:paraId="0041B458" w14:textId="77777777" w:rsidR="00D5533B" w:rsidRPr="00E64FFB" w:rsidRDefault="00D5533B" w:rsidP="00D5533B">
      <w:pPr>
        <w:pStyle w:val="BodyText"/>
        <w:rPr>
          <w:color w:val="FF0000"/>
        </w:rPr>
      </w:pPr>
      <w:r w:rsidRPr="00E76E47">
        <w:t>For more information, refer to the securities legislation of your province or territory, or consult your lawyer</w:t>
      </w:r>
      <w:r w:rsidRPr="00E64FFB">
        <w:rPr>
          <w:color w:val="FF0000"/>
        </w:rPr>
        <w:t>.</w:t>
      </w:r>
    </w:p>
    <w:p w14:paraId="73B04DA9" w14:textId="77777777" w:rsidR="00D5533B" w:rsidRPr="00E64FFB" w:rsidRDefault="00D5533B" w:rsidP="00D5533B">
      <w:pPr>
        <w:pStyle w:val="BodyText"/>
        <w:rPr>
          <w:color w:val="FF0000"/>
        </w:rPr>
        <w:sectPr w:rsidR="00D5533B" w:rsidRPr="00E64FFB" w:rsidSect="0090757D">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pgNumType w:start="1"/>
          <w:cols w:space="720"/>
          <w:titlePg/>
          <w:docGrid w:linePitch="360"/>
        </w:sectPr>
      </w:pPr>
    </w:p>
    <w:p w14:paraId="1FB1377F" w14:textId="1FF4CFCD" w:rsidR="00C10036" w:rsidRPr="000D1123" w:rsidRDefault="00C10036" w:rsidP="00C10036">
      <w:pPr>
        <w:pStyle w:val="Heading1"/>
        <w:rPr>
          <w:rFonts w:asciiTheme="minorHAnsi" w:hAnsiTheme="minorHAnsi" w:cstheme="minorHAnsi"/>
          <w:b w:val="0"/>
          <w:szCs w:val="22"/>
        </w:rPr>
      </w:pPr>
      <w:bookmarkStart w:id="99" w:name="_Toc5968902"/>
      <w:bookmarkStart w:id="100" w:name="_Toc133828656"/>
      <w:bookmarkStart w:id="101" w:name="_Toc531895552"/>
      <w:bookmarkStart w:id="102" w:name="_Toc531895630"/>
      <w:bookmarkStart w:id="103" w:name="_Toc531896291"/>
      <w:r w:rsidRPr="000D1123">
        <w:rPr>
          <w:rFonts w:asciiTheme="minorHAnsi" w:hAnsiTheme="minorHAnsi" w:cstheme="minorHAnsi"/>
        </w:rPr>
        <w:lastRenderedPageBreak/>
        <w:t xml:space="preserve">Certificate of the Fund and the Manager and </w:t>
      </w:r>
      <w:r w:rsidR="00F806B4">
        <w:rPr>
          <w:rFonts w:asciiTheme="minorHAnsi" w:hAnsiTheme="minorHAnsi" w:cstheme="minorHAnsi"/>
        </w:rPr>
        <w:t>P</w:t>
      </w:r>
      <w:r w:rsidRPr="000D1123">
        <w:rPr>
          <w:rFonts w:asciiTheme="minorHAnsi" w:hAnsiTheme="minorHAnsi" w:cstheme="minorHAnsi"/>
        </w:rPr>
        <w:t>romoter</w:t>
      </w:r>
      <w:bookmarkEnd w:id="99"/>
      <w:bookmarkEnd w:id="100"/>
    </w:p>
    <w:p w14:paraId="6CAAB82F" w14:textId="77777777" w:rsidR="00C10036" w:rsidRPr="000D1123" w:rsidRDefault="00C10036" w:rsidP="00C10036">
      <w:pPr>
        <w:pStyle w:val="BodyText"/>
        <w:jc w:val="center"/>
        <w:rPr>
          <w:rFonts w:cstheme="minorHAnsi"/>
          <w:b/>
        </w:rPr>
      </w:pPr>
      <w:proofErr w:type="spellStart"/>
      <w:r w:rsidRPr="000D1123">
        <w:rPr>
          <w:rFonts w:cstheme="minorHAnsi"/>
          <w:b/>
        </w:rPr>
        <w:t>Barrantagh</w:t>
      </w:r>
      <w:proofErr w:type="spellEnd"/>
      <w:r w:rsidRPr="000D1123">
        <w:rPr>
          <w:rFonts w:cstheme="minorHAnsi"/>
          <w:b/>
        </w:rPr>
        <w:t xml:space="preserve"> Small Cap Canadian Equity Fund</w:t>
      </w:r>
    </w:p>
    <w:p w14:paraId="6C68D3FD" w14:textId="77777777" w:rsidR="00C10036" w:rsidRPr="000D1123" w:rsidRDefault="00C10036" w:rsidP="00C10036">
      <w:pPr>
        <w:pStyle w:val="BodyText"/>
        <w:jc w:val="center"/>
        <w:rPr>
          <w:rFonts w:cstheme="minorHAnsi"/>
          <w:b/>
        </w:rPr>
      </w:pPr>
    </w:p>
    <w:p w14:paraId="0C9986ED" w14:textId="5BC8C419" w:rsidR="00C10036" w:rsidRPr="000D1123" w:rsidRDefault="00C10036" w:rsidP="00C10036">
      <w:pPr>
        <w:pStyle w:val="BodyText"/>
        <w:rPr>
          <w:rFonts w:cstheme="minorHAnsi"/>
        </w:rPr>
      </w:pPr>
      <w:r w:rsidRPr="000D1123">
        <w:rPr>
          <w:rFonts w:cstheme="minorHAnsi"/>
        </w:rPr>
        <w:t>Dated</w:t>
      </w:r>
      <w:r w:rsidR="0064562E">
        <w:rPr>
          <w:rFonts w:cstheme="minorHAnsi"/>
        </w:rPr>
        <w:t xml:space="preserve"> </w:t>
      </w:r>
      <w:r w:rsidR="0064562E" w:rsidRPr="00C070B9">
        <w:rPr>
          <w:rFonts w:cstheme="minorHAnsi"/>
        </w:rPr>
        <w:t>May 1</w:t>
      </w:r>
      <w:r w:rsidR="00752539">
        <w:rPr>
          <w:rFonts w:cstheme="minorHAnsi"/>
        </w:rPr>
        <w:t>8</w:t>
      </w:r>
      <w:r w:rsidR="00E86EEF" w:rsidRPr="00C070B9">
        <w:rPr>
          <w:rFonts w:cstheme="minorHAnsi"/>
        </w:rPr>
        <w:t>, 2023</w:t>
      </w:r>
    </w:p>
    <w:p w14:paraId="78D9E8DE" w14:textId="6D9D7C0F" w:rsidR="00C10036" w:rsidRPr="000D1123" w:rsidRDefault="00C10036" w:rsidP="00C10036">
      <w:pPr>
        <w:pStyle w:val="BodyTextFirstIndent"/>
        <w:ind w:firstLine="0"/>
        <w:rPr>
          <w:rFonts w:cstheme="minorHAnsi"/>
        </w:rPr>
      </w:pPr>
      <w:r w:rsidRPr="000D1123">
        <w:rPr>
          <w:rFonts w:cstheme="minorHAnsi"/>
        </w:rPr>
        <w:t xml:space="preserve">This </w:t>
      </w:r>
      <w:r w:rsidR="007B2C7E" w:rsidRPr="000D1123">
        <w:rPr>
          <w:rFonts w:cstheme="minorHAnsi"/>
        </w:rPr>
        <w:t xml:space="preserve">simplified </w:t>
      </w:r>
      <w:r w:rsidRPr="000D1123">
        <w:rPr>
          <w:rFonts w:cstheme="minorHAnsi"/>
        </w:rPr>
        <w:t>prospectus</w:t>
      </w:r>
      <w:r w:rsidR="0003118C">
        <w:rPr>
          <w:rFonts w:cstheme="minorHAnsi"/>
        </w:rPr>
        <w:t>,</w:t>
      </w:r>
      <w:r w:rsidRPr="000D1123">
        <w:rPr>
          <w:rFonts w:cstheme="minorHAnsi"/>
        </w:rPr>
        <w:t xml:space="preserve"> and the documents incorporated by reference into </w:t>
      </w:r>
      <w:r w:rsidR="006A48C4" w:rsidRPr="000D1123">
        <w:rPr>
          <w:rFonts w:cstheme="minorHAnsi"/>
        </w:rPr>
        <w:t>this</w:t>
      </w:r>
      <w:r w:rsidRPr="000D1123">
        <w:rPr>
          <w:rFonts w:cstheme="minorHAnsi"/>
        </w:rPr>
        <w:t xml:space="preserve"> simplified prospectus, constitutes full, </w:t>
      </w:r>
      <w:proofErr w:type="gramStart"/>
      <w:r w:rsidRPr="000D1123">
        <w:rPr>
          <w:rFonts w:cstheme="minorHAnsi"/>
        </w:rPr>
        <w:t>true</w:t>
      </w:r>
      <w:proofErr w:type="gramEnd"/>
      <w:r w:rsidRPr="000D1123">
        <w:rPr>
          <w:rFonts w:cstheme="minorHAnsi"/>
        </w:rPr>
        <w:t xml:space="preserve"> and plain disclosure of all material facts relating to the securities offered by the simplified prospectus, as required by the securities legislation of each of the provinces of Canada and do not contain any misrepresentations.</w:t>
      </w:r>
    </w:p>
    <w:tbl>
      <w:tblPr>
        <w:tblW w:w="0" w:type="auto"/>
        <w:tblLook w:val="04A0" w:firstRow="1" w:lastRow="0" w:firstColumn="1" w:lastColumn="0" w:noHBand="0" w:noVBand="1"/>
      </w:tblPr>
      <w:tblGrid>
        <w:gridCol w:w="4673"/>
        <w:gridCol w:w="4687"/>
      </w:tblGrid>
      <w:tr w:rsidR="000D1123" w:rsidRPr="000D1123" w14:paraId="1B161823" w14:textId="77777777" w:rsidTr="0054024B">
        <w:tc>
          <w:tcPr>
            <w:tcW w:w="4673" w:type="dxa"/>
            <w:shd w:val="clear" w:color="auto" w:fill="auto"/>
          </w:tcPr>
          <w:p w14:paraId="5AC78462" w14:textId="77777777" w:rsidR="00C10036" w:rsidRPr="000D1123" w:rsidRDefault="00C10036" w:rsidP="0054024B">
            <w:pPr>
              <w:rPr>
                <w:rFonts w:cstheme="minorHAnsi"/>
              </w:rPr>
            </w:pPr>
          </w:p>
        </w:tc>
        <w:tc>
          <w:tcPr>
            <w:tcW w:w="4687" w:type="dxa"/>
            <w:shd w:val="clear" w:color="auto" w:fill="auto"/>
          </w:tcPr>
          <w:p w14:paraId="332E87A2" w14:textId="77777777" w:rsidR="00C10036" w:rsidRPr="000D1123" w:rsidRDefault="00C10036" w:rsidP="0054024B">
            <w:pPr>
              <w:rPr>
                <w:rFonts w:cstheme="minorHAnsi"/>
              </w:rPr>
            </w:pPr>
          </w:p>
        </w:tc>
      </w:tr>
      <w:tr w:rsidR="000D1123" w:rsidRPr="000D1123" w14:paraId="0C042D4A" w14:textId="77777777" w:rsidTr="0054024B">
        <w:tc>
          <w:tcPr>
            <w:tcW w:w="4673" w:type="dxa"/>
            <w:shd w:val="clear" w:color="auto" w:fill="auto"/>
          </w:tcPr>
          <w:p w14:paraId="39A8B8BA" w14:textId="2C037BD2" w:rsidR="00C10036" w:rsidRPr="000D1123" w:rsidRDefault="00C10036" w:rsidP="0054024B">
            <w:pPr>
              <w:jc w:val="center"/>
              <w:rPr>
                <w:rFonts w:cstheme="minorHAnsi"/>
                <w:i/>
                <w:smallCaps/>
              </w:rPr>
            </w:pPr>
            <w:r w:rsidRPr="000D1123">
              <w:rPr>
                <w:rFonts w:cstheme="minorHAnsi"/>
                <w:i/>
                <w:smallCaps/>
              </w:rPr>
              <w:t xml:space="preserve">(Signed) </w:t>
            </w:r>
            <w:r w:rsidRPr="000D1123">
              <w:rPr>
                <w:rFonts w:asciiTheme="majorHAnsi" w:hAnsiTheme="majorHAnsi" w:cstheme="majorHAnsi"/>
                <w:i/>
                <w:smallCaps/>
              </w:rPr>
              <w:t>“</w:t>
            </w:r>
            <w:r w:rsidR="00A47E3B">
              <w:rPr>
                <w:rFonts w:asciiTheme="majorHAnsi" w:hAnsiTheme="majorHAnsi" w:cstheme="majorHAnsi"/>
                <w:i/>
                <w:smallCaps/>
              </w:rPr>
              <w:t>Walter Kusters</w:t>
            </w:r>
            <w:r w:rsidRPr="000D1123">
              <w:rPr>
                <w:rFonts w:asciiTheme="majorHAnsi" w:hAnsiTheme="majorHAnsi" w:cstheme="majorHAnsi"/>
              </w:rPr>
              <w:t>”</w:t>
            </w:r>
          </w:p>
          <w:p w14:paraId="18C39263" w14:textId="77777777" w:rsidR="00C10036" w:rsidRPr="000D1123" w:rsidRDefault="00C10036" w:rsidP="0054024B">
            <w:pPr>
              <w:jc w:val="center"/>
              <w:rPr>
                <w:rFonts w:cstheme="minorHAnsi"/>
              </w:rPr>
            </w:pPr>
            <w:r w:rsidRPr="000D1123">
              <w:rPr>
                <w:rFonts w:cstheme="minorHAnsi"/>
              </w:rPr>
              <w:t>Walter Kusters</w:t>
            </w:r>
            <w:r w:rsidRPr="000D1123">
              <w:rPr>
                <w:rFonts w:cstheme="minorHAnsi"/>
                <w:smallCaps/>
              </w:rPr>
              <w:br/>
              <w:t>Chief Executive Officer</w:t>
            </w:r>
          </w:p>
        </w:tc>
        <w:tc>
          <w:tcPr>
            <w:tcW w:w="4687" w:type="dxa"/>
            <w:shd w:val="clear" w:color="auto" w:fill="auto"/>
          </w:tcPr>
          <w:p w14:paraId="21D39923" w14:textId="2F07CC90" w:rsidR="00C10036" w:rsidRPr="000D1123" w:rsidRDefault="00C10036" w:rsidP="0054024B">
            <w:pPr>
              <w:jc w:val="center"/>
              <w:rPr>
                <w:rFonts w:cstheme="minorHAnsi"/>
              </w:rPr>
            </w:pPr>
            <w:r w:rsidRPr="000D1123">
              <w:rPr>
                <w:rFonts w:cstheme="minorHAnsi"/>
                <w:i/>
                <w:smallCaps/>
              </w:rPr>
              <w:t>(Signed)</w:t>
            </w:r>
            <w:r w:rsidRPr="000D1123">
              <w:rPr>
                <w:rFonts w:cstheme="minorHAnsi"/>
              </w:rPr>
              <w:t xml:space="preserve"> </w:t>
            </w:r>
            <w:r w:rsidRPr="000D1123">
              <w:rPr>
                <w:rFonts w:asciiTheme="majorHAnsi" w:hAnsiTheme="majorHAnsi" w:cstheme="majorHAnsi"/>
                <w:i/>
                <w:smallCaps/>
              </w:rPr>
              <w:t>“</w:t>
            </w:r>
            <w:r w:rsidR="00A47E3B">
              <w:rPr>
                <w:rFonts w:asciiTheme="majorHAnsi" w:hAnsiTheme="majorHAnsi" w:cstheme="majorHAnsi"/>
                <w:i/>
                <w:smallCaps/>
              </w:rPr>
              <w:t xml:space="preserve">Marino </w:t>
            </w:r>
            <w:r w:rsidR="00291F66">
              <w:rPr>
                <w:rFonts w:asciiTheme="majorHAnsi" w:hAnsiTheme="majorHAnsi" w:cstheme="majorHAnsi"/>
                <w:i/>
                <w:smallCaps/>
              </w:rPr>
              <w:t>Scarmozzino</w:t>
            </w:r>
            <w:r w:rsidRPr="000D1123">
              <w:rPr>
                <w:rFonts w:asciiTheme="majorHAnsi" w:hAnsiTheme="majorHAnsi" w:cstheme="majorHAnsi"/>
              </w:rPr>
              <w:t>”</w:t>
            </w:r>
          </w:p>
          <w:p w14:paraId="4DA69DE5" w14:textId="77777777" w:rsidR="00C10036" w:rsidRPr="000D1123" w:rsidRDefault="00C10036" w:rsidP="0054024B">
            <w:pPr>
              <w:jc w:val="center"/>
              <w:rPr>
                <w:rFonts w:cstheme="minorHAnsi"/>
                <w:smallCaps/>
              </w:rPr>
            </w:pPr>
            <w:r w:rsidRPr="000D1123">
              <w:rPr>
                <w:rFonts w:cstheme="minorHAnsi"/>
              </w:rPr>
              <w:t>Marino Scarmozzino</w:t>
            </w:r>
            <w:r w:rsidRPr="000D1123">
              <w:rPr>
                <w:rFonts w:cstheme="minorHAnsi"/>
                <w:smallCaps/>
              </w:rPr>
              <w:t xml:space="preserve"> </w:t>
            </w:r>
            <w:r w:rsidRPr="000D1123">
              <w:rPr>
                <w:rFonts w:cstheme="minorHAnsi"/>
                <w:smallCaps/>
              </w:rPr>
              <w:br/>
              <w:t xml:space="preserve">VP Finance and Administration, </w:t>
            </w:r>
            <w:r w:rsidRPr="000D1123">
              <w:rPr>
                <w:rFonts w:cstheme="minorHAnsi"/>
                <w:smallCaps/>
              </w:rPr>
              <w:br/>
              <w:t>Signing in the capacity of a CFO</w:t>
            </w:r>
          </w:p>
        </w:tc>
      </w:tr>
      <w:tr w:rsidR="000D1123" w:rsidRPr="000D1123" w14:paraId="74AC4D81" w14:textId="77777777" w:rsidTr="0054024B">
        <w:tc>
          <w:tcPr>
            <w:tcW w:w="4673" w:type="dxa"/>
            <w:shd w:val="clear" w:color="auto" w:fill="auto"/>
          </w:tcPr>
          <w:p w14:paraId="174A3438" w14:textId="77777777" w:rsidR="00C10036" w:rsidRPr="000D1123" w:rsidRDefault="00C10036" w:rsidP="0054024B">
            <w:pPr>
              <w:rPr>
                <w:rFonts w:cstheme="minorHAnsi"/>
              </w:rPr>
            </w:pPr>
          </w:p>
        </w:tc>
        <w:tc>
          <w:tcPr>
            <w:tcW w:w="4687" w:type="dxa"/>
            <w:shd w:val="clear" w:color="auto" w:fill="auto"/>
          </w:tcPr>
          <w:p w14:paraId="14C21500" w14:textId="77777777" w:rsidR="00C10036" w:rsidRPr="000D1123" w:rsidRDefault="00C10036" w:rsidP="0054024B">
            <w:pPr>
              <w:rPr>
                <w:rFonts w:cstheme="minorHAnsi"/>
              </w:rPr>
            </w:pPr>
          </w:p>
        </w:tc>
      </w:tr>
      <w:tr w:rsidR="000D1123" w:rsidRPr="000D1123" w14:paraId="04F27AE9" w14:textId="77777777" w:rsidTr="0054024B">
        <w:tc>
          <w:tcPr>
            <w:tcW w:w="9360" w:type="dxa"/>
            <w:gridSpan w:val="2"/>
            <w:shd w:val="clear" w:color="auto" w:fill="auto"/>
          </w:tcPr>
          <w:p w14:paraId="11264A06" w14:textId="77777777" w:rsidR="00C10036" w:rsidRPr="000D1123" w:rsidRDefault="00C10036" w:rsidP="0054024B">
            <w:pPr>
              <w:jc w:val="center"/>
              <w:rPr>
                <w:rFonts w:cstheme="minorHAnsi"/>
                <w:b/>
              </w:rPr>
            </w:pPr>
            <w:r w:rsidRPr="000D1123">
              <w:rPr>
                <w:rFonts w:cstheme="minorHAnsi"/>
                <w:b/>
              </w:rPr>
              <w:t xml:space="preserve">ON BEHALF OF THE BOARD OF DIRECTORS OF BARRANTAGH INVESTMENT MANAGEMENT INC., as Manager and Promoter </w:t>
            </w:r>
          </w:p>
        </w:tc>
      </w:tr>
      <w:tr w:rsidR="000D1123" w:rsidRPr="000D1123" w14:paraId="0A01C3DB" w14:textId="77777777" w:rsidTr="0054024B">
        <w:tc>
          <w:tcPr>
            <w:tcW w:w="4673" w:type="dxa"/>
            <w:shd w:val="clear" w:color="auto" w:fill="auto"/>
          </w:tcPr>
          <w:p w14:paraId="6561EEFF" w14:textId="77777777" w:rsidR="00C10036" w:rsidRPr="000D1123" w:rsidRDefault="00C10036" w:rsidP="0054024B">
            <w:pPr>
              <w:rPr>
                <w:rFonts w:cstheme="minorHAnsi"/>
              </w:rPr>
            </w:pPr>
          </w:p>
        </w:tc>
        <w:tc>
          <w:tcPr>
            <w:tcW w:w="4687" w:type="dxa"/>
            <w:shd w:val="clear" w:color="auto" w:fill="auto"/>
          </w:tcPr>
          <w:p w14:paraId="791A88DF" w14:textId="77777777" w:rsidR="00C10036" w:rsidRPr="000D1123" w:rsidRDefault="00C10036" w:rsidP="0054024B">
            <w:pPr>
              <w:rPr>
                <w:rFonts w:cstheme="minorHAnsi"/>
              </w:rPr>
            </w:pPr>
          </w:p>
        </w:tc>
      </w:tr>
      <w:tr w:rsidR="000D1123" w:rsidRPr="000D1123" w14:paraId="13A0CA0E" w14:textId="77777777" w:rsidTr="0054024B">
        <w:tc>
          <w:tcPr>
            <w:tcW w:w="4673" w:type="dxa"/>
            <w:shd w:val="clear" w:color="auto" w:fill="auto"/>
          </w:tcPr>
          <w:p w14:paraId="00C37151" w14:textId="71207363" w:rsidR="00C10036" w:rsidRPr="000D1123" w:rsidRDefault="00C10036" w:rsidP="0054024B">
            <w:pPr>
              <w:jc w:val="center"/>
              <w:rPr>
                <w:rFonts w:cstheme="minorHAnsi"/>
                <w:i/>
                <w:smallCaps/>
              </w:rPr>
            </w:pPr>
            <w:r w:rsidRPr="000D1123">
              <w:rPr>
                <w:rFonts w:cstheme="minorHAnsi"/>
                <w:i/>
                <w:smallCaps/>
              </w:rPr>
              <w:t xml:space="preserve">(Signed) </w:t>
            </w:r>
            <w:r w:rsidRPr="000D1123">
              <w:rPr>
                <w:rFonts w:asciiTheme="majorHAnsi" w:hAnsiTheme="majorHAnsi" w:cstheme="majorHAnsi"/>
                <w:i/>
                <w:smallCaps/>
              </w:rPr>
              <w:t>“</w:t>
            </w:r>
            <w:r w:rsidR="00A47E3B">
              <w:rPr>
                <w:rFonts w:asciiTheme="majorHAnsi" w:hAnsiTheme="majorHAnsi" w:cstheme="majorHAnsi"/>
                <w:i/>
                <w:smallCaps/>
              </w:rPr>
              <w:t>Joe D’Angelo</w:t>
            </w:r>
            <w:r w:rsidRPr="000D1123">
              <w:rPr>
                <w:rFonts w:asciiTheme="majorHAnsi" w:hAnsiTheme="majorHAnsi" w:cstheme="majorHAnsi"/>
              </w:rPr>
              <w:t>”</w:t>
            </w:r>
          </w:p>
          <w:p w14:paraId="64DEF236" w14:textId="77777777" w:rsidR="00C10036" w:rsidRPr="000D1123" w:rsidRDefault="00C10036" w:rsidP="0054024B">
            <w:pPr>
              <w:jc w:val="center"/>
              <w:rPr>
                <w:rFonts w:cstheme="minorHAnsi"/>
              </w:rPr>
            </w:pPr>
            <w:r w:rsidRPr="000D1123">
              <w:rPr>
                <w:rFonts w:cstheme="minorHAnsi"/>
              </w:rPr>
              <w:t>Joe D’Angelo</w:t>
            </w:r>
            <w:r w:rsidRPr="000D1123">
              <w:rPr>
                <w:rFonts w:cstheme="minorHAnsi"/>
              </w:rPr>
              <w:br/>
            </w:r>
            <w:r w:rsidRPr="000D1123">
              <w:rPr>
                <w:rFonts w:cstheme="minorHAnsi"/>
                <w:smallCaps/>
              </w:rPr>
              <w:t>Director</w:t>
            </w:r>
          </w:p>
        </w:tc>
        <w:tc>
          <w:tcPr>
            <w:tcW w:w="4687" w:type="dxa"/>
            <w:shd w:val="clear" w:color="auto" w:fill="auto"/>
          </w:tcPr>
          <w:p w14:paraId="57FEEDE3" w14:textId="662B11D6" w:rsidR="00C10036" w:rsidRPr="000D1123" w:rsidRDefault="00C10036" w:rsidP="0054024B">
            <w:pPr>
              <w:jc w:val="center"/>
              <w:rPr>
                <w:rFonts w:cstheme="minorHAnsi"/>
                <w:i/>
                <w:smallCaps/>
              </w:rPr>
            </w:pPr>
            <w:r w:rsidRPr="000D1123">
              <w:rPr>
                <w:rFonts w:cstheme="minorHAnsi"/>
                <w:i/>
                <w:smallCaps/>
              </w:rPr>
              <w:t xml:space="preserve">(Signed) </w:t>
            </w:r>
            <w:r w:rsidRPr="000D1123">
              <w:rPr>
                <w:rFonts w:asciiTheme="majorHAnsi" w:hAnsiTheme="majorHAnsi" w:cstheme="majorHAnsi"/>
                <w:i/>
                <w:smallCaps/>
              </w:rPr>
              <w:t>“</w:t>
            </w:r>
            <w:r w:rsidR="00A47E3B">
              <w:rPr>
                <w:rFonts w:asciiTheme="majorHAnsi" w:hAnsiTheme="majorHAnsi" w:cstheme="majorHAnsi"/>
                <w:i/>
                <w:smallCaps/>
              </w:rPr>
              <w:t xml:space="preserve">John D. </w:t>
            </w:r>
            <w:proofErr w:type="spellStart"/>
            <w:r w:rsidR="00A47E3B">
              <w:rPr>
                <w:rFonts w:asciiTheme="majorHAnsi" w:hAnsiTheme="majorHAnsi" w:cstheme="majorHAnsi"/>
                <w:i/>
                <w:smallCaps/>
              </w:rPr>
              <w:t>Vinnai</w:t>
            </w:r>
            <w:proofErr w:type="spellEnd"/>
            <w:r w:rsidRPr="000D1123">
              <w:rPr>
                <w:rFonts w:asciiTheme="majorHAnsi" w:hAnsiTheme="majorHAnsi" w:cstheme="majorHAnsi"/>
              </w:rPr>
              <w:t>”</w:t>
            </w:r>
          </w:p>
          <w:p w14:paraId="69F914D3" w14:textId="77777777" w:rsidR="00C10036" w:rsidRPr="000D1123" w:rsidRDefault="00C10036" w:rsidP="0054024B">
            <w:pPr>
              <w:jc w:val="center"/>
              <w:rPr>
                <w:rFonts w:cstheme="minorHAnsi"/>
              </w:rPr>
            </w:pPr>
            <w:r w:rsidRPr="000D1123">
              <w:rPr>
                <w:rFonts w:cstheme="minorHAnsi"/>
              </w:rPr>
              <w:t xml:space="preserve">John D. </w:t>
            </w:r>
            <w:proofErr w:type="spellStart"/>
            <w:r w:rsidRPr="000D1123">
              <w:rPr>
                <w:rFonts w:cstheme="minorHAnsi"/>
              </w:rPr>
              <w:t>Vinnai</w:t>
            </w:r>
            <w:proofErr w:type="spellEnd"/>
            <w:r w:rsidRPr="000D1123">
              <w:rPr>
                <w:rFonts w:cstheme="minorHAnsi"/>
                <w:smallCaps/>
              </w:rPr>
              <w:br/>
              <w:t>Director</w:t>
            </w:r>
          </w:p>
        </w:tc>
      </w:tr>
    </w:tbl>
    <w:p w14:paraId="1A74480A" w14:textId="77777777" w:rsidR="00C10036" w:rsidRPr="000D1123" w:rsidRDefault="00C10036" w:rsidP="00C10036"/>
    <w:p w14:paraId="79FC7003" w14:textId="77777777" w:rsidR="00C10036" w:rsidRPr="000D1123" w:rsidRDefault="00C10036" w:rsidP="00C10036">
      <w:pPr>
        <w:rPr>
          <w:rFonts w:asciiTheme="majorHAnsi" w:eastAsiaTheme="majorEastAsia" w:hAnsiTheme="majorHAnsi" w:cstheme="majorBidi"/>
          <w:b/>
          <w:bCs/>
          <w:caps/>
          <w:szCs w:val="28"/>
        </w:rPr>
      </w:pPr>
      <w:r w:rsidRPr="000D1123">
        <w:br w:type="page"/>
      </w:r>
    </w:p>
    <w:p w14:paraId="64620EC3" w14:textId="77777777" w:rsidR="00C10036" w:rsidRPr="00C10036" w:rsidRDefault="00C10036" w:rsidP="00C10036">
      <w:pPr>
        <w:rPr>
          <w:rFonts w:cstheme="minorHAnsi"/>
          <w:color w:val="7030A0"/>
        </w:rPr>
        <w:sectPr w:rsidR="00C10036" w:rsidRPr="00C10036" w:rsidSect="00E112E9">
          <w:footerReference w:type="default" r:id="rId30"/>
          <w:pgSz w:w="12240" w:h="15840" w:code="1"/>
          <w:pgMar w:top="1440" w:right="1440" w:bottom="1440" w:left="1440" w:header="720" w:footer="720" w:gutter="0"/>
          <w:pgNumType w:start="1"/>
          <w:cols w:space="720"/>
          <w:docGrid w:linePitch="360"/>
        </w:sectPr>
      </w:pPr>
    </w:p>
    <w:p w14:paraId="717243AF" w14:textId="3F4BE2A7" w:rsidR="00315D75" w:rsidRPr="0020294A" w:rsidRDefault="00315D75" w:rsidP="00315D75">
      <w:pPr>
        <w:pStyle w:val="Heading1"/>
      </w:pPr>
      <w:bookmarkStart w:id="104" w:name="_Hlk5809968"/>
      <w:bookmarkStart w:id="105" w:name="_Toc133828657"/>
      <w:r w:rsidRPr="0020294A">
        <w:lastRenderedPageBreak/>
        <w:t xml:space="preserve">Specific </w:t>
      </w:r>
      <w:r w:rsidR="00190260">
        <w:t>I</w:t>
      </w:r>
      <w:r w:rsidRPr="0020294A">
        <w:t xml:space="preserve">nformation </w:t>
      </w:r>
      <w:r w:rsidR="00190260">
        <w:t>A</w:t>
      </w:r>
      <w:r w:rsidRPr="0020294A">
        <w:t xml:space="preserve">bout </w:t>
      </w:r>
      <w:proofErr w:type="spellStart"/>
      <w:r w:rsidRPr="0020294A">
        <w:t>Barrantagh</w:t>
      </w:r>
      <w:proofErr w:type="spellEnd"/>
      <w:r w:rsidRPr="0020294A">
        <w:t xml:space="preserve"> Small Cap Canadian Equity Fund</w:t>
      </w:r>
      <w:bookmarkEnd w:id="104"/>
      <w:bookmarkEnd w:id="105"/>
    </w:p>
    <w:p w14:paraId="479B83BD" w14:textId="77777777" w:rsidR="00315D75" w:rsidRPr="0020294A" w:rsidRDefault="00315D75" w:rsidP="00C30CF7">
      <w:pPr>
        <w:jc w:val="center"/>
        <w:rPr>
          <w:b/>
          <w:bCs/>
        </w:rPr>
      </w:pPr>
      <w:bookmarkStart w:id="106" w:name="_Toc531896273"/>
      <w:r w:rsidRPr="0020294A">
        <w:rPr>
          <w:b/>
          <w:bCs/>
        </w:rPr>
        <w:t>What is a mutual fund and what are the risks of investing in a mutual fund?</w:t>
      </w:r>
      <w:bookmarkEnd w:id="106"/>
    </w:p>
    <w:p w14:paraId="3419CA8B" w14:textId="77777777" w:rsidR="00315D75" w:rsidRPr="0020294A" w:rsidRDefault="00315D75" w:rsidP="00315D75">
      <w:pPr>
        <w:pStyle w:val="BodyText"/>
      </w:pPr>
      <w:r w:rsidRPr="0020294A">
        <w:t xml:space="preserve">A mutual fund provides a convenient way for investors with similar investment goals to combine their money, which is then used to buy investments on behalf of </w:t>
      </w:r>
      <w:proofErr w:type="gramStart"/>
      <w:r w:rsidRPr="0020294A">
        <w:t>all of</w:t>
      </w:r>
      <w:proofErr w:type="gramEnd"/>
      <w:r w:rsidRPr="0020294A">
        <w:t xml:space="preserve"> the investors in the fund.</w:t>
      </w:r>
    </w:p>
    <w:p w14:paraId="5C7C0B04" w14:textId="77777777" w:rsidR="00315D75" w:rsidRPr="0020294A" w:rsidRDefault="00315D75" w:rsidP="00315D75">
      <w:pPr>
        <w:pStyle w:val="BodyText"/>
      </w:pPr>
      <w:r w:rsidRPr="0020294A">
        <w:t>When we buy investments, we follow the investment objectives and investment strategies of the Fund.  These are described later in this document.  The price of a unit of a mutual fund is equal to its most recently calculated NAV and this value changes every day, depending on how the investments of the mutual fund are performing.  When the investments of a mutual fund rise in value, the price of a unit of that mutual fund also goes up.  When the investments of the mutual fund drop in value, the price of a unit of that mutual fund goes down.</w:t>
      </w:r>
    </w:p>
    <w:p w14:paraId="1DBF6E19" w14:textId="77777777" w:rsidR="00315D75" w:rsidRPr="0020294A" w:rsidRDefault="00315D75" w:rsidP="00315D75">
      <w:pPr>
        <w:pStyle w:val="BodyText"/>
      </w:pPr>
      <w:r w:rsidRPr="0020294A">
        <w:t xml:space="preserve">Unitholders share a mutual fund’s income, expenses, </w:t>
      </w:r>
      <w:proofErr w:type="gramStart"/>
      <w:r w:rsidRPr="0020294A">
        <w:t>gains</w:t>
      </w:r>
      <w:proofErr w:type="gramEnd"/>
      <w:r w:rsidRPr="0020294A">
        <w:t xml:space="preserve"> and losses in proportion to their units in the mutual fund.</w:t>
      </w:r>
    </w:p>
    <w:p w14:paraId="53EF8029" w14:textId="2A6B0C7C" w:rsidR="00315D75" w:rsidRPr="0020294A" w:rsidRDefault="00315D75" w:rsidP="00315D75">
      <w:pPr>
        <w:pStyle w:val="BodyText"/>
      </w:pPr>
      <w:r w:rsidRPr="0020294A">
        <w:t xml:space="preserve">There are many </w:t>
      </w:r>
      <w:r w:rsidRPr="00260548">
        <w:t>potential advantages of investing in mutual funds, but there are also some risks you should be aware of.  Some of the risks that are common to all mutual fund investments are discussed in this section.  For the specific risks relating to the Fund, see “</w:t>
      </w:r>
      <w:r w:rsidRPr="00260548">
        <w:rPr>
          <w:i/>
        </w:rPr>
        <w:t>What are the Risks of Investing in the Fund</w:t>
      </w:r>
      <w:r w:rsidRPr="00260548">
        <w:t>”.</w:t>
      </w:r>
    </w:p>
    <w:p w14:paraId="26147EE3" w14:textId="77777777" w:rsidR="00315D75" w:rsidRPr="00144C41" w:rsidRDefault="00315D75" w:rsidP="00C30CF7">
      <w:pPr>
        <w:rPr>
          <w:b/>
          <w:bCs/>
        </w:rPr>
      </w:pPr>
      <w:bookmarkStart w:id="107" w:name="_Toc531895535"/>
      <w:bookmarkStart w:id="108" w:name="_Toc531895613"/>
      <w:bookmarkStart w:id="109" w:name="_Toc531896274"/>
      <w:r w:rsidRPr="00144C41">
        <w:rPr>
          <w:b/>
          <w:bCs/>
        </w:rPr>
        <w:t>Risks Common to All Mutual Funds</w:t>
      </w:r>
      <w:bookmarkEnd w:id="107"/>
      <w:bookmarkEnd w:id="108"/>
      <w:bookmarkEnd w:id="109"/>
    </w:p>
    <w:p w14:paraId="7B5483B5" w14:textId="77777777" w:rsidR="00315D75" w:rsidRPr="00144C41" w:rsidRDefault="00315D75" w:rsidP="00315D75">
      <w:pPr>
        <w:pStyle w:val="BodyText"/>
      </w:pPr>
      <w:r w:rsidRPr="00144C41">
        <w:t>Investing in mutual funds is not like putting your money in a savings account.  Unlike a savings account or a GIC, neither the Canada Deposit Insurance Corporation nor any other government deposit insurer insures your investment in units of a mutual fund.  Furthermore, the full amount of your investment in a mutual fund is not guaranteed.</w:t>
      </w:r>
    </w:p>
    <w:p w14:paraId="744DAE43" w14:textId="77777777" w:rsidR="00315D75" w:rsidRPr="00BF4AAC" w:rsidRDefault="00315D75" w:rsidP="00315D75">
      <w:pPr>
        <w:pStyle w:val="BodyText"/>
      </w:pPr>
      <w:r w:rsidRPr="00144C41">
        <w:t>Mutual funds own different types of investments, depending upon their investment objectives and strategies.  The value of a mutual fund may change each day as the value of those investments change, reflecting changes in i</w:t>
      </w:r>
      <w:r w:rsidRPr="00BF4AAC">
        <w:t>nterest rates, economic conditions and stock market and company news.  As a result, the value of units of a fund goes up and down, and when you sell your units, you may receive more or less than the amount you invested when you bought those units.</w:t>
      </w:r>
    </w:p>
    <w:p w14:paraId="632335C0" w14:textId="1A9335FA" w:rsidR="00315D75" w:rsidRPr="00144C41" w:rsidRDefault="00315D75" w:rsidP="00315D75">
      <w:pPr>
        <w:pStyle w:val="BodyText"/>
      </w:pPr>
      <w:r w:rsidRPr="00BF4AAC">
        <w:t>Units of a fund are generally redeemable each business day.  This means the fund will effectively repurchase these units from you, and pay you the applicable NAV per unit.  But in exceptional circumstances a fund will not accept any orders to redeem units.  These circumstances are explained under “</w:t>
      </w:r>
      <w:r w:rsidRPr="00BF4AAC">
        <w:rPr>
          <w:i/>
        </w:rPr>
        <w:t xml:space="preserve">Purchases, </w:t>
      </w:r>
      <w:r w:rsidR="00613448" w:rsidRPr="00BF4AAC">
        <w:rPr>
          <w:i/>
        </w:rPr>
        <w:t>S</w:t>
      </w:r>
      <w:r w:rsidRPr="00BF4AAC">
        <w:rPr>
          <w:i/>
        </w:rPr>
        <w:t xml:space="preserve">witches and </w:t>
      </w:r>
      <w:r w:rsidR="00613448" w:rsidRPr="00BF4AAC">
        <w:rPr>
          <w:i/>
        </w:rPr>
        <w:t>R</w:t>
      </w:r>
      <w:r w:rsidRPr="00BF4AAC">
        <w:rPr>
          <w:i/>
        </w:rPr>
        <w:t>edemptions</w:t>
      </w:r>
      <w:r w:rsidRPr="00BF4AAC">
        <w:t>”</w:t>
      </w:r>
      <w:r w:rsidR="00BF4AAC" w:rsidRPr="00BF4AAC">
        <w:t xml:space="preserve"> herein</w:t>
      </w:r>
      <w:r w:rsidRPr="00BF4AAC">
        <w:t>.</w:t>
      </w:r>
      <w:r w:rsidR="00613448" w:rsidRPr="00144C41">
        <w:t xml:space="preserve"> </w:t>
      </w:r>
    </w:p>
    <w:p w14:paraId="1A346303" w14:textId="3F517A2D" w:rsidR="00315D75" w:rsidRDefault="00315D75" w:rsidP="00315D75">
      <w:pPr>
        <w:pStyle w:val="BodyText"/>
        <w:rPr>
          <w:color w:val="FF0000"/>
        </w:rPr>
      </w:pPr>
      <w:r w:rsidRPr="00144C41">
        <w:t>Most securities owned by a mutual fund can be sold easily and at a fair price.  In highly volatile markets, certain securities may become less liquid, which means they cannot be sold as quickly or easily.  Some securities may be illiquid because of legal restrictions, the nature of the investment, certain features, like guarantees or a lack of purchasers interested in the particular security or market.  Difficulty in selling securities may result in a loss or reduced return for the fund.</w:t>
      </w:r>
      <w:r w:rsidRPr="00E64FFB">
        <w:rPr>
          <w:color w:val="FF0000"/>
        </w:rPr>
        <w:br w:type="page"/>
      </w:r>
    </w:p>
    <w:p w14:paraId="0426B847" w14:textId="63CFA889" w:rsidR="00D5533B" w:rsidRPr="00C07C31" w:rsidRDefault="00D5533B" w:rsidP="00C30CF7">
      <w:pPr>
        <w:jc w:val="center"/>
        <w:rPr>
          <w:b/>
          <w:bCs/>
        </w:rPr>
      </w:pPr>
      <w:r w:rsidRPr="00C07C31">
        <w:rPr>
          <w:b/>
          <w:bCs/>
        </w:rPr>
        <w:lastRenderedPageBreak/>
        <w:t>Fund Details</w:t>
      </w:r>
      <w:bookmarkEnd w:id="101"/>
      <w:bookmarkEnd w:id="102"/>
      <w:bookmarkEnd w:id="10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C07C31" w:rsidRPr="00C07C31" w14:paraId="1D83DE94" w14:textId="77777777" w:rsidTr="00833783">
        <w:tc>
          <w:tcPr>
            <w:tcW w:w="4675" w:type="dxa"/>
            <w:tcBorders>
              <w:top w:val="nil"/>
            </w:tcBorders>
          </w:tcPr>
          <w:p w14:paraId="5C7824A1" w14:textId="77777777" w:rsidR="00D5533B" w:rsidRPr="00C07C31" w:rsidRDefault="00D5533B" w:rsidP="00833783">
            <w:pPr>
              <w:pStyle w:val="BodyText"/>
            </w:pPr>
            <w:r w:rsidRPr="00C07C31">
              <w:t xml:space="preserve">Type of Fund: </w:t>
            </w:r>
          </w:p>
        </w:tc>
        <w:tc>
          <w:tcPr>
            <w:tcW w:w="4675" w:type="dxa"/>
            <w:tcBorders>
              <w:top w:val="nil"/>
            </w:tcBorders>
          </w:tcPr>
          <w:p w14:paraId="08220E1B" w14:textId="77777777" w:rsidR="00D5533B" w:rsidRPr="00C07C31" w:rsidRDefault="00D5533B" w:rsidP="00833783">
            <w:pPr>
              <w:pStyle w:val="BodyText"/>
            </w:pPr>
            <w:r w:rsidRPr="00C07C31">
              <w:t>Small cap Canadian equity fund.</w:t>
            </w:r>
          </w:p>
        </w:tc>
      </w:tr>
      <w:tr w:rsidR="00C07C31" w:rsidRPr="00C07C31" w14:paraId="3883472B" w14:textId="77777777" w:rsidTr="00833783">
        <w:tc>
          <w:tcPr>
            <w:tcW w:w="4675" w:type="dxa"/>
          </w:tcPr>
          <w:p w14:paraId="66FE9327" w14:textId="77777777" w:rsidR="00D5533B" w:rsidRPr="00C07C31" w:rsidRDefault="00D5533B" w:rsidP="00833783">
            <w:pPr>
              <w:pStyle w:val="BodyText"/>
            </w:pPr>
            <w:r w:rsidRPr="00C07C31">
              <w:t>Date Fund was First Offered by way of Prospectus:</w:t>
            </w:r>
          </w:p>
        </w:tc>
        <w:tc>
          <w:tcPr>
            <w:tcW w:w="4675" w:type="dxa"/>
          </w:tcPr>
          <w:p w14:paraId="4F6032A2" w14:textId="77777777" w:rsidR="00D5533B" w:rsidRPr="00C07C31" w:rsidRDefault="00D5533B" w:rsidP="00833783">
            <w:pPr>
              <w:pStyle w:val="BodyText"/>
            </w:pPr>
            <w:r w:rsidRPr="00C07C31">
              <w:t>April 15, 2019.</w:t>
            </w:r>
            <w:r w:rsidRPr="00C07C31">
              <w:rPr>
                <w:vertAlign w:val="superscript"/>
              </w:rPr>
              <w:t>(1)</w:t>
            </w:r>
          </w:p>
        </w:tc>
      </w:tr>
      <w:tr w:rsidR="00C07C31" w:rsidRPr="00C07C31" w14:paraId="43F83F87" w14:textId="77777777" w:rsidTr="00833783">
        <w:tc>
          <w:tcPr>
            <w:tcW w:w="4675" w:type="dxa"/>
          </w:tcPr>
          <w:p w14:paraId="1F4E200E" w14:textId="77777777" w:rsidR="00D5533B" w:rsidRPr="00C07C31" w:rsidRDefault="00D5533B" w:rsidP="00833783">
            <w:pPr>
              <w:pStyle w:val="BodyText"/>
            </w:pPr>
            <w:r w:rsidRPr="00C07C31">
              <w:t>Nature of Securities Offered:</w:t>
            </w:r>
          </w:p>
        </w:tc>
        <w:tc>
          <w:tcPr>
            <w:tcW w:w="4675" w:type="dxa"/>
          </w:tcPr>
          <w:p w14:paraId="13306DFD" w14:textId="77777777" w:rsidR="00D5533B" w:rsidRPr="00C07C31" w:rsidRDefault="00D5533B" w:rsidP="00833783">
            <w:pPr>
              <w:pStyle w:val="BodyText"/>
            </w:pPr>
            <w:r w:rsidRPr="00C07C31">
              <w:t>Series A, Series F and Series O Units of a mutual fund trust.</w:t>
            </w:r>
          </w:p>
        </w:tc>
      </w:tr>
      <w:tr w:rsidR="00C07C31" w:rsidRPr="00C07C31" w14:paraId="1E7ADC46" w14:textId="77777777" w:rsidTr="00833783">
        <w:tc>
          <w:tcPr>
            <w:tcW w:w="4675" w:type="dxa"/>
          </w:tcPr>
          <w:p w14:paraId="25A9F5DC" w14:textId="77777777" w:rsidR="00D5533B" w:rsidRPr="00C07C31" w:rsidRDefault="00D5533B" w:rsidP="00833783">
            <w:pPr>
              <w:pStyle w:val="BodyText"/>
            </w:pPr>
            <w:r w:rsidRPr="00C07C31">
              <w:t>Registered Plan Eligibility:</w:t>
            </w:r>
          </w:p>
        </w:tc>
        <w:tc>
          <w:tcPr>
            <w:tcW w:w="4675" w:type="dxa"/>
          </w:tcPr>
          <w:p w14:paraId="0449CE45" w14:textId="77777777" w:rsidR="00D5533B" w:rsidRPr="00C07C31" w:rsidRDefault="00D5533B" w:rsidP="00833783">
            <w:pPr>
              <w:pStyle w:val="BodyText"/>
            </w:pPr>
            <w:r w:rsidRPr="00C07C31">
              <w:t>Yes.</w:t>
            </w:r>
          </w:p>
        </w:tc>
      </w:tr>
    </w:tbl>
    <w:p w14:paraId="6A612D8A" w14:textId="132C0596" w:rsidR="00D5533B" w:rsidRPr="00C07C31" w:rsidRDefault="00D5533B" w:rsidP="00E6013F">
      <w:pPr>
        <w:suppressAutoHyphens/>
        <w:spacing w:after="0"/>
        <w:ind w:left="-90"/>
        <w:rPr>
          <w:sz w:val="16"/>
          <w:szCs w:val="16"/>
        </w:rPr>
      </w:pPr>
      <w:bookmarkStart w:id="110" w:name="_Toc531895553"/>
      <w:bookmarkStart w:id="111" w:name="_Toc531895631"/>
      <w:bookmarkStart w:id="112" w:name="_Toc531896292"/>
      <w:r w:rsidRPr="00C07C31">
        <w:rPr>
          <w:vertAlign w:val="superscript"/>
        </w:rPr>
        <w:t xml:space="preserve">(1)  </w:t>
      </w:r>
      <w:r w:rsidRPr="00C07C31">
        <w:rPr>
          <w:sz w:val="16"/>
          <w:szCs w:val="16"/>
        </w:rPr>
        <w:t xml:space="preserve">The Fund was established on </w:t>
      </w:r>
      <w:r w:rsidRPr="00C07C31">
        <w:rPr>
          <w:rFonts w:cstheme="minorHAnsi"/>
          <w:sz w:val="16"/>
          <w:szCs w:val="16"/>
        </w:rPr>
        <w:t>April 15</w:t>
      </w:r>
      <w:r w:rsidRPr="00C07C31">
        <w:rPr>
          <w:sz w:val="16"/>
          <w:szCs w:val="16"/>
          <w:lang w:val="en-US"/>
        </w:rPr>
        <w:t>, 2019;</w:t>
      </w:r>
      <w:r w:rsidRPr="00C07C31">
        <w:rPr>
          <w:sz w:val="16"/>
          <w:szCs w:val="16"/>
        </w:rPr>
        <w:t xml:space="preserve"> Series F and Series O Units were first offered by</w:t>
      </w:r>
      <w:r w:rsidR="00B301A9" w:rsidRPr="00C07C31">
        <w:rPr>
          <w:sz w:val="16"/>
          <w:szCs w:val="16"/>
        </w:rPr>
        <w:t xml:space="preserve"> the</w:t>
      </w:r>
      <w:r w:rsidR="005A47E5" w:rsidRPr="00C07C31">
        <w:rPr>
          <w:sz w:val="16"/>
          <w:szCs w:val="16"/>
        </w:rPr>
        <w:t xml:space="preserve"> Fund’s</w:t>
      </w:r>
      <w:r w:rsidR="00B301A9" w:rsidRPr="00C07C31">
        <w:rPr>
          <w:sz w:val="16"/>
          <w:szCs w:val="16"/>
        </w:rPr>
        <w:t xml:space="preserve"> simplified</w:t>
      </w:r>
      <w:r w:rsidRPr="00C07C31">
        <w:rPr>
          <w:sz w:val="16"/>
          <w:szCs w:val="16"/>
        </w:rPr>
        <w:t xml:space="preserve"> prospectus</w:t>
      </w:r>
      <w:r w:rsidR="00B301A9" w:rsidRPr="00C07C31">
        <w:rPr>
          <w:sz w:val="16"/>
          <w:szCs w:val="16"/>
        </w:rPr>
        <w:t xml:space="preserve"> </w:t>
      </w:r>
      <w:r w:rsidRPr="00C07C31">
        <w:rPr>
          <w:sz w:val="16"/>
          <w:szCs w:val="16"/>
        </w:rPr>
        <w:t xml:space="preserve">dated </w:t>
      </w:r>
      <w:r w:rsidRPr="00C07C31">
        <w:rPr>
          <w:rFonts w:cstheme="minorHAnsi"/>
          <w:sz w:val="16"/>
          <w:szCs w:val="16"/>
        </w:rPr>
        <w:t>April 15</w:t>
      </w:r>
      <w:r w:rsidRPr="00C07C31">
        <w:rPr>
          <w:sz w:val="16"/>
          <w:szCs w:val="16"/>
          <w:lang w:val="en-US"/>
        </w:rPr>
        <w:t>, 2019</w:t>
      </w:r>
      <w:r w:rsidRPr="00C07C31">
        <w:rPr>
          <w:sz w:val="16"/>
          <w:szCs w:val="16"/>
        </w:rPr>
        <w:t xml:space="preserve">. Series A Units </w:t>
      </w:r>
      <w:r w:rsidR="00E6013F" w:rsidRPr="00C07C31">
        <w:rPr>
          <w:sz w:val="16"/>
          <w:szCs w:val="16"/>
        </w:rPr>
        <w:t>were first offered by the Fund’s simplified prospectus dated April 30, 2021.</w:t>
      </w:r>
    </w:p>
    <w:p w14:paraId="620536F5" w14:textId="77777777" w:rsidR="00C30CF7" w:rsidRPr="00E64FFB" w:rsidRDefault="00C30CF7" w:rsidP="00D5533B">
      <w:pPr>
        <w:suppressAutoHyphens/>
        <w:spacing w:after="0"/>
        <w:ind w:left="-90"/>
        <w:jc w:val="left"/>
        <w:rPr>
          <w:color w:val="FF0000"/>
        </w:rPr>
      </w:pPr>
    </w:p>
    <w:p w14:paraId="2D1CE53F" w14:textId="7E52F9D1" w:rsidR="00D5533B" w:rsidRPr="00C30CF7" w:rsidRDefault="00D5533B" w:rsidP="00C30CF7">
      <w:pPr>
        <w:jc w:val="center"/>
        <w:rPr>
          <w:b/>
          <w:bCs/>
        </w:rPr>
      </w:pPr>
      <w:r w:rsidRPr="00C30CF7">
        <w:rPr>
          <w:b/>
          <w:bCs/>
        </w:rPr>
        <w:t xml:space="preserve">What </w:t>
      </w:r>
      <w:r w:rsidR="00F6796D">
        <w:rPr>
          <w:b/>
          <w:bCs/>
        </w:rPr>
        <w:t>Does</w:t>
      </w:r>
      <w:r w:rsidRPr="00C30CF7">
        <w:rPr>
          <w:b/>
          <w:bCs/>
        </w:rPr>
        <w:t xml:space="preserve"> the Fund </w:t>
      </w:r>
      <w:r w:rsidR="00F6796D">
        <w:rPr>
          <w:b/>
          <w:bCs/>
        </w:rPr>
        <w:t>Invest</w:t>
      </w:r>
      <w:r w:rsidRPr="00C30CF7">
        <w:rPr>
          <w:b/>
          <w:bCs/>
        </w:rPr>
        <w:t xml:space="preserve"> in?</w:t>
      </w:r>
      <w:bookmarkEnd w:id="110"/>
      <w:bookmarkEnd w:id="111"/>
      <w:bookmarkEnd w:id="112"/>
    </w:p>
    <w:p w14:paraId="48935AC2" w14:textId="1DE15EF1" w:rsidR="00D5533B" w:rsidRPr="009E4BC1" w:rsidRDefault="00D5533B" w:rsidP="00FB000E">
      <w:pPr>
        <w:rPr>
          <w:b/>
          <w:bCs/>
        </w:rPr>
      </w:pPr>
      <w:bookmarkStart w:id="113" w:name="_Toc531895554"/>
      <w:bookmarkStart w:id="114" w:name="_Toc531895632"/>
      <w:bookmarkStart w:id="115" w:name="_Toc531896293"/>
      <w:r w:rsidRPr="009E4BC1">
        <w:rPr>
          <w:b/>
          <w:bCs/>
        </w:rPr>
        <w:t xml:space="preserve">Investment </w:t>
      </w:r>
      <w:bookmarkEnd w:id="113"/>
      <w:bookmarkEnd w:id="114"/>
      <w:bookmarkEnd w:id="115"/>
      <w:r w:rsidR="00F6796D">
        <w:rPr>
          <w:b/>
          <w:bCs/>
        </w:rPr>
        <w:t>Objective</w:t>
      </w:r>
    </w:p>
    <w:p w14:paraId="580D9925" w14:textId="77777777" w:rsidR="00D5533B" w:rsidRPr="009E4BC1" w:rsidRDefault="00D5533B" w:rsidP="00D5533B">
      <w:pPr>
        <w:pStyle w:val="BodyText"/>
      </w:pPr>
      <w:r w:rsidRPr="009E4BC1">
        <w:t xml:space="preserve">The Fund’s investment objective is to outperform the S&amp;P/TSX Small Cap Canadian equity index over market cycles.  The Fund primarily invests in common shares within the small cap area of the Canadian market.  </w:t>
      </w:r>
    </w:p>
    <w:p w14:paraId="1CB90406" w14:textId="5EF58096" w:rsidR="00D5533B" w:rsidRPr="009E4BC1" w:rsidRDefault="00D5533B" w:rsidP="00D5533B">
      <w:pPr>
        <w:pStyle w:val="BodyText"/>
      </w:pPr>
      <w:r w:rsidRPr="009E4BC1">
        <w:t xml:space="preserve">The Fund’s fundamental investment objectives may not be changed without the prior approval of </w:t>
      </w:r>
      <w:proofErr w:type="gramStart"/>
      <w:r w:rsidRPr="009E4BC1">
        <w:t>the majority of</w:t>
      </w:r>
      <w:proofErr w:type="gramEnd"/>
      <w:r w:rsidRPr="009E4BC1">
        <w:t xml:space="preserve"> its </w:t>
      </w:r>
      <w:r w:rsidR="009E4BC1" w:rsidRPr="009E4BC1">
        <w:t>Unitholders</w:t>
      </w:r>
      <w:r w:rsidRPr="009E4BC1">
        <w:t>, who vote at a meeting called for that purpose.</w:t>
      </w:r>
    </w:p>
    <w:p w14:paraId="00DC1D05" w14:textId="5F59B533" w:rsidR="00D5533B" w:rsidRPr="00CA39F3" w:rsidRDefault="00D5533B" w:rsidP="00FB000E">
      <w:pPr>
        <w:rPr>
          <w:b/>
          <w:bCs/>
        </w:rPr>
      </w:pPr>
      <w:bookmarkStart w:id="116" w:name="_Toc531895555"/>
      <w:bookmarkStart w:id="117" w:name="_Toc531895633"/>
      <w:bookmarkStart w:id="118" w:name="_Toc531896294"/>
      <w:r w:rsidRPr="00CA39F3">
        <w:rPr>
          <w:b/>
          <w:bCs/>
        </w:rPr>
        <w:t xml:space="preserve">Investment </w:t>
      </w:r>
      <w:r w:rsidR="00F6796D" w:rsidRPr="00CA39F3">
        <w:rPr>
          <w:b/>
          <w:bCs/>
        </w:rPr>
        <w:t>Strategies</w:t>
      </w:r>
      <w:bookmarkEnd w:id="116"/>
      <w:bookmarkEnd w:id="117"/>
      <w:bookmarkEnd w:id="118"/>
    </w:p>
    <w:p w14:paraId="1751FD32" w14:textId="5EEBCDD9" w:rsidR="00D5533B" w:rsidRPr="00CA39F3" w:rsidRDefault="007643B9" w:rsidP="00D5533B">
      <w:pPr>
        <w:pStyle w:val="BodyText"/>
      </w:pPr>
      <w:proofErr w:type="spellStart"/>
      <w:r w:rsidRPr="00CA39F3">
        <w:rPr>
          <w:rFonts w:cstheme="minorHAnsi"/>
        </w:rPr>
        <w:t>Barrantagh</w:t>
      </w:r>
      <w:proofErr w:type="spellEnd"/>
      <w:r w:rsidRPr="00CA39F3">
        <w:rPr>
          <w:rFonts w:cstheme="minorHAnsi"/>
        </w:rPr>
        <w:t xml:space="preserve"> </w:t>
      </w:r>
      <w:r w:rsidR="00D5533B" w:rsidRPr="00CA39F3">
        <w:t xml:space="preserve">pursues a disciplined fundamental approach that seeks to identify companies that can combine a dominant business profile with proven management and a financial profile that can be independently analyzed.  A rigorous five-step process guides a stock’s progress from a proprietary full-cycle company snapshot analysis through establishing the initial thesis, management interviews, financial modeling and decision making.  </w:t>
      </w:r>
      <w:proofErr w:type="spellStart"/>
      <w:r w:rsidRPr="00CA39F3">
        <w:rPr>
          <w:rFonts w:cstheme="minorHAnsi"/>
        </w:rPr>
        <w:t>Barrantagh’s</w:t>
      </w:r>
      <w:proofErr w:type="spellEnd"/>
      <w:r w:rsidRPr="00CA39F3">
        <w:rPr>
          <w:rFonts w:cstheme="minorHAnsi"/>
        </w:rPr>
        <w:t xml:space="preserve"> </w:t>
      </w:r>
      <w:r w:rsidR="00D5533B" w:rsidRPr="00CA39F3">
        <w:t>philosophy is to create a concentrated portfolio of high quality and sustainable businesses with an aim of generating superior long-term risk adjusted returns.</w:t>
      </w:r>
    </w:p>
    <w:p w14:paraId="3F6B195E" w14:textId="77777777" w:rsidR="00D5533B" w:rsidRPr="00CA39F3" w:rsidRDefault="00D5533B" w:rsidP="00D5533B">
      <w:pPr>
        <w:pStyle w:val="BodyText"/>
      </w:pPr>
      <w:r w:rsidRPr="00CA39F3">
        <w:t xml:space="preserve">Cash and cash equivalents will not exceed 25% of the Fund’s NAV.  The Fund will hold a minimum of 15 and a maximum of 60 stocks at any time.  </w:t>
      </w:r>
    </w:p>
    <w:p w14:paraId="0AB904F4" w14:textId="77777777" w:rsidR="00D5533B" w:rsidRPr="00CA39F3" w:rsidRDefault="00D5533B" w:rsidP="00D5533B">
      <w:pPr>
        <w:pStyle w:val="BodyText"/>
      </w:pPr>
      <w:r w:rsidRPr="00CA39F3">
        <w:t>No more than 45% of the Fund’s portfolio will be invested in equity securities of non-Canadian issuers.</w:t>
      </w:r>
    </w:p>
    <w:p w14:paraId="0757D973" w14:textId="43397928" w:rsidR="00C10036" w:rsidRPr="00604F54" w:rsidRDefault="00D5533B" w:rsidP="00D5533B">
      <w:pPr>
        <w:pStyle w:val="BodyText"/>
        <w:rPr>
          <w:rFonts w:cs="Times New Roman"/>
        </w:rPr>
      </w:pPr>
      <w:r w:rsidRPr="00604F54">
        <w:rPr>
          <w:rFonts w:cs="Times New Roman"/>
        </w:rPr>
        <w:t xml:space="preserve">The Fund will not borrow money, sell securities short or use derivatives.  It may </w:t>
      </w:r>
      <w:proofErr w:type="gramStart"/>
      <w:r w:rsidRPr="00604F54">
        <w:rPr>
          <w:rFonts w:cs="Times New Roman"/>
        </w:rPr>
        <w:t>enter into</w:t>
      </w:r>
      <w:proofErr w:type="gramEnd"/>
      <w:r w:rsidRPr="00604F54">
        <w:rPr>
          <w:rFonts w:cs="Times New Roman"/>
        </w:rPr>
        <w:t xml:space="preserve"> securities lending transactions to generate income.</w:t>
      </w:r>
    </w:p>
    <w:p w14:paraId="0C2F9CF7" w14:textId="0F5D6E06" w:rsidR="00C10036" w:rsidRPr="00604F54" w:rsidRDefault="00C10036" w:rsidP="00FB000E">
      <w:pPr>
        <w:rPr>
          <w:b/>
          <w:bCs/>
        </w:rPr>
      </w:pPr>
      <w:bookmarkStart w:id="119" w:name="_Toc5968889"/>
      <w:r w:rsidRPr="00604F54">
        <w:rPr>
          <w:b/>
          <w:bCs/>
        </w:rPr>
        <w:t xml:space="preserve">Investment </w:t>
      </w:r>
      <w:r w:rsidR="00F6796D" w:rsidRPr="00604F54">
        <w:rPr>
          <w:b/>
          <w:bCs/>
        </w:rPr>
        <w:t>Restrictions</w:t>
      </w:r>
      <w:bookmarkEnd w:id="119"/>
    </w:p>
    <w:p w14:paraId="19A56ED3" w14:textId="77777777" w:rsidR="00C10036" w:rsidRPr="00604F54" w:rsidRDefault="00C10036" w:rsidP="00C10036">
      <w:pPr>
        <w:pStyle w:val="BodyText"/>
        <w:rPr>
          <w:rFonts w:ascii="Arial" w:hAnsi="Arial" w:cs="Arial"/>
        </w:rPr>
      </w:pPr>
      <w:r w:rsidRPr="00604F54">
        <w:rPr>
          <w:rFonts w:ascii="Arial" w:hAnsi="Arial" w:cs="Arial"/>
        </w:rPr>
        <w:t xml:space="preserve">The Fund is subject to and will observe the standard investment restrictions and practices of applicable </w:t>
      </w:r>
      <w:r w:rsidRPr="00BE2716">
        <w:rPr>
          <w:rFonts w:ascii="Arial" w:hAnsi="Arial" w:cs="Arial"/>
        </w:rPr>
        <w:t>Canadian securities legislation including</w:t>
      </w:r>
      <w:proofErr w:type="gramStart"/>
      <w:r w:rsidRPr="00BE2716">
        <w:rPr>
          <w:rFonts w:ascii="Arial" w:hAnsi="Arial" w:cs="Arial"/>
        </w:rPr>
        <w:t>, in particular, Part</w:t>
      </w:r>
      <w:proofErr w:type="gramEnd"/>
      <w:r w:rsidRPr="00BE2716">
        <w:rPr>
          <w:rFonts w:ascii="Arial" w:hAnsi="Arial" w:cs="Arial"/>
        </w:rPr>
        <w:t xml:space="preserve"> 2 of National Instrument 81-102 </w:t>
      </w:r>
      <w:r w:rsidRPr="00BE2716">
        <w:rPr>
          <w:rFonts w:ascii="Arial" w:hAnsi="Arial" w:cs="Arial"/>
          <w:i/>
        </w:rPr>
        <w:t>Investment Funds</w:t>
      </w:r>
      <w:r w:rsidRPr="00BE2716">
        <w:rPr>
          <w:rFonts w:ascii="Arial" w:hAnsi="Arial" w:cs="Arial"/>
        </w:rPr>
        <w:t xml:space="preserve"> (“</w:t>
      </w:r>
      <w:r w:rsidRPr="00BE2716">
        <w:rPr>
          <w:rFonts w:ascii="Arial" w:hAnsi="Arial" w:cs="Arial"/>
          <w:b/>
        </w:rPr>
        <w:t>NI 81-102</w:t>
      </w:r>
      <w:r w:rsidRPr="00BE2716">
        <w:rPr>
          <w:rFonts w:ascii="Arial" w:hAnsi="Arial" w:cs="Arial"/>
        </w:rPr>
        <w:t>”).  These investment restrictions are designed in part to ensure that the investments of the Fund are well diversified and relatively liquid, and to ensure the proper administration of the Fund.</w:t>
      </w:r>
    </w:p>
    <w:p w14:paraId="7A9945E1" w14:textId="77777777" w:rsidR="00C10036" w:rsidRPr="00F33FCD" w:rsidRDefault="00C10036" w:rsidP="00C10036">
      <w:pPr>
        <w:pStyle w:val="BodyText"/>
        <w:rPr>
          <w:rFonts w:ascii="Arial" w:hAnsi="Arial" w:cs="Arial"/>
        </w:rPr>
      </w:pPr>
      <w:r w:rsidRPr="00604F54">
        <w:rPr>
          <w:rFonts w:ascii="Arial" w:hAnsi="Arial" w:cs="Arial"/>
        </w:rPr>
        <w:lastRenderedPageBreak/>
        <w:t>The fundamental investment objectives of the Fund referred to under “</w:t>
      </w:r>
      <w:r w:rsidRPr="00604F54">
        <w:rPr>
          <w:rFonts w:ascii="Arial" w:hAnsi="Arial" w:cs="Arial"/>
          <w:i/>
        </w:rPr>
        <w:t>Name, Formation and History of the Fund</w:t>
      </w:r>
      <w:r w:rsidRPr="00604F54">
        <w:rPr>
          <w:rFonts w:ascii="Arial" w:hAnsi="Arial" w:cs="Arial"/>
        </w:rPr>
        <w:t xml:space="preserve">” above may not be changed without the approval of the votes of </w:t>
      </w:r>
      <w:proofErr w:type="gramStart"/>
      <w:r w:rsidRPr="00604F54">
        <w:rPr>
          <w:rFonts w:ascii="Arial" w:hAnsi="Arial" w:cs="Arial"/>
        </w:rPr>
        <w:t>a majority of</w:t>
      </w:r>
      <w:proofErr w:type="gramEnd"/>
      <w:r w:rsidRPr="00604F54">
        <w:rPr>
          <w:rFonts w:ascii="Arial" w:hAnsi="Arial" w:cs="Arial"/>
        </w:rPr>
        <w:t xml:space="preserve"> </w:t>
      </w:r>
      <w:r w:rsidRPr="00F33FCD">
        <w:rPr>
          <w:rFonts w:ascii="Arial" w:hAnsi="Arial" w:cs="Arial"/>
        </w:rPr>
        <w:t xml:space="preserve">the Unitholders voting at a meeting called for the purpose of considering such change. </w:t>
      </w:r>
    </w:p>
    <w:p w14:paraId="651AAF8A" w14:textId="0ECB8E7E" w:rsidR="00C10036" w:rsidRPr="00671FF1" w:rsidRDefault="00BB5AC2" w:rsidP="00FB000E">
      <w:pPr>
        <w:rPr>
          <w:b/>
          <w:bCs/>
        </w:rPr>
      </w:pPr>
      <w:r w:rsidRPr="00F33FCD">
        <w:rPr>
          <w:b/>
          <w:bCs/>
        </w:rPr>
        <w:t xml:space="preserve">Additional </w:t>
      </w:r>
      <w:r w:rsidR="00F6796D" w:rsidRPr="00F33FCD">
        <w:rPr>
          <w:b/>
          <w:bCs/>
        </w:rPr>
        <w:t xml:space="preserve">Tax-Related </w:t>
      </w:r>
      <w:r w:rsidR="00F6796D" w:rsidRPr="00671FF1">
        <w:rPr>
          <w:b/>
          <w:bCs/>
        </w:rPr>
        <w:t>Investment Restrictions</w:t>
      </w:r>
    </w:p>
    <w:p w14:paraId="4BCD2310" w14:textId="466460DF" w:rsidR="00C10036" w:rsidRPr="00F33FCD" w:rsidRDefault="00C10036" w:rsidP="00C10036">
      <w:pPr>
        <w:pStyle w:val="BodyText"/>
        <w:rPr>
          <w:rFonts w:ascii="Arial" w:hAnsi="Arial" w:cs="Arial"/>
        </w:rPr>
      </w:pPr>
      <w:r w:rsidRPr="00671FF1">
        <w:rPr>
          <w:rFonts w:ascii="Arial" w:hAnsi="Arial" w:cs="Arial"/>
        </w:rPr>
        <w:t xml:space="preserve">The Fund is a “mutual fund trust” for purposes of the Tax Act. Provided the Fund continues to qualify as a mutual fund trust, the Units, if issued on the date hereof, would be “qualified investments” (as that term is defined in the </w:t>
      </w:r>
      <w:r w:rsidRPr="00671FF1">
        <w:rPr>
          <w:rFonts w:ascii="Arial" w:hAnsi="Arial" w:cs="Arial"/>
          <w:bCs/>
        </w:rPr>
        <w:t>Tax Act</w:t>
      </w:r>
      <w:r w:rsidR="00047ABA" w:rsidRPr="00671FF1">
        <w:rPr>
          <w:rFonts w:ascii="Arial" w:hAnsi="Arial" w:cs="Arial"/>
          <w:bCs/>
        </w:rPr>
        <w:t>)</w:t>
      </w:r>
      <w:r w:rsidRPr="00671FF1">
        <w:rPr>
          <w:rFonts w:ascii="Arial" w:hAnsi="Arial" w:cs="Arial"/>
        </w:rPr>
        <w:t xml:space="preserve"> for trusts governed by Registered Plans.</w:t>
      </w:r>
      <w:r w:rsidR="007C2C2C">
        <w:rPr>
          <w:rFonts w:ascii="Arial" w:hAnsi="Arial" w:cs="Arial"/>
        </w:rPr>
        <w:t xml:space="preserve"> </w:t>
      </w:r>
      <w:r w:rsidR="00516F87">
        <w:rPr>
          <w:rFonts w:ascii="Arial" w:hAnsi="Arial" w:cs="Arial"/>
        </w:rPr>
        <w:t xml:space="preserve">The Fund has not engaged and will not engage in any undertaking other than the investment of its funds in property for the purposes of the Tax Act. </w:t>
      </w:r>
      <w:r w:rsidRPr="00671FF1">
        <w:rPr>
          <w:rFonts w:ascii="Arial" w:hAnsi="Arial" w:cs="Arial"/>
        </w:rPr>
        <w:t>See “</w:t>
      </w:r>
      <w:r w:rsidRPr="00671FF1">
        <w:rPr>
          <w:rFonts w:ascii="Arial" w:hAnsi="Arial" w:cs="Arial"/>
          <w:i/>
        </w:rPr>
        <w:t>Income Tax Considerations</w:t>
      </w:r>
      <w:r w:rsidR="00870481" w:rsidRPr="00671FF1">
        <w:rPr>
          <w:rFonts w:ascii="Arial" w:hAnsi="Arial" w:cs="Arial"/>
          <w:i/>
        </w:rPr>
        <w:t xml:space="preserve"> </w:t>
      </w:r>
      <w:r w:rsidR="001A5DAB">
        <w:rPr>
          <w:rFonts w:ascii="Arial" w:hAnsi="Arial" w:cs="Arial"/>
          <w:i/>
        </w:rPr>
        <w:t>– Units Held in Registered Plans</w:t>
      </w:r>
      <w:r w:rsidR="00604F54" w:rsidRPr="00671FF1">
        <w:rPr>
          <w:rFonts w:ascii="Arial" w:hAnsi="Arial" w:cs="Arial"/>
        </w:rPr>
        <w:t>”</w:t>
      </w:r>
      <w:r w:rsidRPr="00671FF1">
        <w:rPr>
          <w:rFonts w:ascii="Arial" w:hAnsi="Arial" w:cs="Arial"/>
        </w:rPr>
        <w:t>.</w:t>
      </w:r>
      <w:r w:rsidRPr="00F33FCD">
        <w:rPr>
          <w:rFonts w:ascii="Arial" w:hAnsi="Arial" w:cs="Arial"/>
        </w:rPr>
        <w:t xml:space="preserve">  </w:t>
      </w:r>
    </w:p>
    <w:p w14:paraId="17C7062A" w14:textId="77777777" w:rsidR="00C10036" w:rsidRPr="00F33FCD" w:rsidRDefault="00C10036" w:rsidP="00C10036">
      <w:pPr>
        <w:pStyle w:val="BodyText"/>
        <w:rPr>
          <w:rFonts w:ascii="Arial" w:hAnsi="Arial" w:cs="Arial"/>
        </w:rPr>
      </w:pPr>
      <w:r w:rsidRPr="00F33FCD">
        <w:rPr>
          <w:rFonts w:ascii="Arial" w:hAnsi="Arial" w:cs="Arial"/>
        </w:rPr>
        <w:t>In addition to the investment restrictions under NI 81-102 and other applicable securities laws, the Fund will be subject to the following tax-related investment restrictions, which provide that the Fund shall not:</w:t>
      </w:r>
    </w:p>
    <w:p w14:paraId="49443B92" w14:textId="77777777" w:rsidR="00C10036" w:rsidRPr="00F33FCD" w:rsidRDefault="00C10036" w:rsidP="00C10036">
      <w:pPr>
        <w:pStyle w:val="Number5"/>
        <w:tabs>
          <w:tab w:val="num" w:pos="1440"/>
        </w:tabs>
        <w:ind w:left="1440"/>
        <w:jc w:val="both"/>
        <w:rPr>
          <w:rFonts w:asciiTheme="minorHAnsi" w:hAnsiTheme="minorHAnsi" w:cstheme="minorHAnsi"/>
          <w:sz w:val="22"/>
          <w:szCs w:val="22"/>
        </w:rPr>
      </w:pPr>
      <w:bookmarkStart w:id="120" w:name="_Ref427748213"/>
      <w:r w:rsidRPr="00F33FCD">
        <w:rPr>
          <w:rFonts w:asciiTheme="minorHAnsi" w:hAnsiTheme="minorHAnsi" w:cstheme="minorHAnsi"/>
          <w:sz w:val="22"/>
          <w:szCs w:val="22"/>
        </w:rPr>
        <w:t>invest in or hold (i) securities of or an interest in any non-resident entity, an interest in or a right or option to acquire such property, or an interest in a partnership which holds any such property if the Fund (or the partnership) would be required to include any significant amounts in income pursuant to section 94.1 of the Tax Act, (ii) an interest in a trust (or a partnership which holds such an interest) which would require the Fund (or the partnership) to include significant amounts in income in connection with such interest pursuant to the rules in section 94.2 of the Tax Act, or (iii) any interest in a non-resident trust (or a partnership which holds such an interest) other than an “exempt foreign trust” for the purposes of section 94 of the Tax Act;</w:t>
      </w:r>
      <w:bookmarkEnd w:id="120"/>
    </w:p>
    <w:p w14:paraId="59AE205C" w14:textId="77777777" w:rsidR="00C10036" w:rsidRPr="00F33FCD" w:rsidRDefault="00C10036" w:rsidP="00C10036">
      <w:pPr>
        <w:pStyle w:val="Number5"/>
        <w:tabs>
          <w:tab w:val="num" w:pos="1440"/>
        </w:tabs>
        <w:ind w:left="1440"/>
        <w:jc w:val="both"/>
        <w:rPr>
          <w:rFonts w:asciiTheme="minorHAnsi" w:hAnsiTheme="minorHAnsi" w:cstheme="minorHAnsi"/>
          <w:sz w:val="22"/>
          <w:szCs w:val="22"/>
        </w:rPr>
      </w:pPr>
      <w:r w:rsidRPr="00F33FCD">
        <w:rPr>
          <w:rFonts w:asciiTheme="minorHAnsi" w:hAnsiTheme="minorHAnsi" w:cstheme="minorHAnsi"/>
          <w:sz w:val="22"/>
          <w:szCs w:val="22"/>
        </w:rPr>
        <w:t>invest in any security that would be a “tax shelter investment” within the meaning of section 143.2 of the Tax Act;</w:t>
      </w:r>
    </w:p>
    <w:p w14:paraId="081C5ED7" w14:textId="77777777" w:rsidR="00C10036" w:rsidRPr="00F33FCD" w:rsidRDefault="00C10036" w:rsidP="00C10036">
      <w:pPr>
        <w:pStyle w:val="Number5"/>
        <w:tabs>
          <w:tab w:val="num" w:pos="1440"/>
        </w:tabs>
        <w:ind w:left="1440"/>
        <w:jc w:val="both"/>
        <w:rPr>
          <w:rFonts w:asciiTheme="minorHAnsi" w:hAnsiTheme="minorHAnsi" w:cstheme="minorHAnsi"/>
          <w:sz w:val="22"/>
          <w:szCs w:val="22"/>
        </w:rPr>
      </w:pPr>
      <w:r w:rsidRPr="00F33FCD">
        <w:rPr>
          <w:rFonts w:asciiTheme="minorHAnsi" w:hAnsiTheme="minorHAnsi" w:cstheme="minorHAnsi"/>
          <w:sz w:val="22"/>
          <w:szCs w:val="22"/>
        </w:rPr>
        <w:t>invest in any security of an issuer that would be a “controlled foreign affiliate” of the Fund for purposes of the Tax Act;</w:t>
      </w:r>
    </w:p>
    <w:p w14:paraId="436F036B" w14:textId="77777777" w:rsidR="00C10036" w:rsidRPr="00F33FCD" w:rsidRDefault="00C10036" w:rsidP="00C10036">
      <w:pPr>
        <w:pStyle w:val="Number5"/>
        <w:tabs>
          <w:tab w:val="num" w:pos="1440"/>
        </w:tabs>
        <w:ind w:left="1440"/>
        <w:jc w:val="both"/>
        <w:rPr>
          <w:rFonts w:asciiTheme="minorHAnsi" w:hAnsiTheme="minorHAnsi" w:cstheme="minorHAnsi"/>
          <w:sz w:val="22"/>
          <w:szCs w:val="22"/>
        </w:rPr>
      </w:pPr>
      <w:proofErr w:type="gramStart"/>
      <w:r w:rsidRPr="00F33FCD">
        <w:rPr>
          <w:rFonts w:asciiTheme="minorHAnsi" w:hAnsiTheme="minorHAnsi" w:cstheme="minorHAnsi"/>
          <w:sz w:val="22"/>
          <w:szCs w:val="22"/>
        </w:rPr>
        <w:t>enter into</w:t>
      </w:r>
      <w:proofErr w:type="gramEnd"/>
      <w:r w:rsidRPr="00F33FCD">
        <w:rPr>
          <w:rFonts w:asciiTheme="minorHAnsi" w:hAnsiTheme="minorHAnsi" w:cstheme="minorHAnsi"/>
          <w:sz w:val="22"/>
          <w:szCs w:val="22"/>
        </w:rPr>
        <w:t xml:space="preserve"> any arrangement (including the acquisition of securities for the portfolio of the Fund) where the result is a “dividend rental arrangement” for the purposes of the Tax Act; or</w:t>
      </w:r>
    </w:p>
    <w:p w14:paraId="14E30B3F" w14:textId="77777777" w:rsidR="00C10036" w:rsidRPr="00F33FCD" w:rsidRDefault="00C10036" w:rsidP="00C10036">
      <w:pPr>
        <w:pStyle w:val="Number5"/>
        <w:tabs>
          <w:tab w:val="num" w:pos="1440"/>
        </w:tabs>
        <w:ind w:left="1440"/>
        <w:jc w:val="both"/>
        <w:rPr>
          <w:rFonts w:asciiTheme="minorHAnsi" w:hAnsiTheme="minorHAnsi" w:cstheme="minorHAnsi"/>
          <w:sz w:val="22"/>
          <w:szCs w:val="22"/>
        </w:rPr>
      </w:pPr>
      <w:r w:rsidRPr="00F33FCD">
        <w:rPr>
          <w:rFonts w:asciiTheme="minorHAnsi" w:hAnsiTheme="minorHAnsi" w:cstheme="minorHAnsi"/>
          <w:sz w:val="22"/>
          <w:szCs w:val="22"/>
        </w:rPr>
        <w:t>make any investment or conduct any activity that would result in the Fund failing to qualify or ceasing to qualify as a “mutual fund trust” for purposes of the Tax Act or acquire any property that would be “taxable Canadian property” of the Fund as such term is defined in the Tax Act (if the definition were read without reference to paragraph (b) thereof)</w:t>
      </w:r>
      <w:bookmarkStart w:id="121" w:name="_Ref373576618"/>
      <w:r w:rsidRPr="00F33FCD">
        <w:rPr>
          <w:rFonts w:asciiTheme="minorHAnsi" w:hAnsiTheme="minorHAnsi" w:cstheme="minorHAnsi"/>
          <w:sz w:val="22"/>
          <w:szCs w:val="22"/>
        </w:rPr>
        <w:t>.</w:t>
      </w:r>
      <w:bookmarkEnd w:id="121"/>
    </w:p>
    <w:p w14:paraId="65332E86" w14:textId="429A3CD9" w:rsidR="00C10036" w:rsidRPr="00F33FCD" w:rsidRDefault="00C10036" w:rsidP="00C10036">
      <w:pPr>
        <w:pStyle w:val="BodyText"/>
        <w:rPr>
          <w:rFonts w:cstheme="minorHAnsi"/>
        </w:rPr>
      </w:pPr>
      <w:r w:rsidRPr="00F33FCD">
        <w:rPr>
          <w:rFonts w:cstheme="minorHAnsi"/>
        </w:rPr>
        <w:t xml:space="preserve">If the Fund becomes </w:t>
      </w:r>
      <w:r w:rsidRPr="00F33FCD">
        <w:rPr>
          <w:rFonts w:cstheme="minorHAnsi"/>
          <w:lang w:val="en-US"/>
        </w:rPr>
        <w:t>a “registered investment” under the Tax Act, it will not acquire an investment that is not a “qualified investment” under the Tax Act if, as a result thereof, it would become subject to tax under Part X.2 of the Tax Act.</w:t>
      </w:r>
      <w:r w:rsidRPr="00F33FCD">
        <w:rPr>
          <w:rFonts w:cstheme="minorHAnsi"/>
        </w:rPr>
        <w:t xml:space="preserve">  </w:t>
      </w:r>
    </w:p>
    <w:p w14:paraId="635EFA70" w14:textId="77CB64C3" w:rsidR="0096135F" w:rsidRPr="00F33FCD" w:rsidRDefault="0096135F" w:rsidP="00FB000E">
      <w:pPr>
        <w:rPr>
          <w:b/>
          <w:bCs/>
        </w:rPr>
      </w:pPr>
      <w:bookmarkStart w:id="122" w:name="_Toc5968890"/>
      <w:r w:rsidRPr="00F33FCD">
        <w:rPr>
          <w:b/>
          <w:bCs/>
        </w:rPr>
        <w:t xml:space="preserve">Description of Units </w:t>
      </w:r>
      <w:r w:rsidR="00F6796D">
        <w:rPr>
          <w:b/>
          <w:bCs/>
        </w:rPr>
        <w:t>Offered</w:t>
      </w:r>
      <w:r w:rsidRPr="00F33FCD">
        <w:rPr>
          <w:b/>
          <w:bCs/>
        </w:rPr>
        <w:t xml:space="preserve"> by the Fund</w:t>
      </w:r>
      <w:bookmarkEnd w:id="122"/>
    </w:p>
    <w:p w14:paraId="4DBA7C9E" w14:textId="77777777" w:rsidR="0096135F" w:rsidRPr="00F33FCD" w:rsidRDefault="0096135F" w:rsidP="0096135F">
      <w:pPr>
        <w:rPr>
          <w:rFonts w:ascii="Arial" w:hAnsi="Arial" w:cs="Arial"/>
        </w:rPr>
      </w:pPr>
      <w:r w:rsidRPr="00F33FCD">
        <w:rPr>
          <w:rFonts w:ascii="Arial" w:hAnsi="Arial" w:cs="Arial"/>
        </w:rPr>
        <w:lastRenderedPageBreak/>
        <w:t>The interests in the Fund are divided into three series of Units:  Series A Units, Series F Units and Series O Units.  The Fund is authorized to issue an unlimited number of Units of each series.</w:t>
      </w:r>
    </w:p>
    <w:p w14:paraId="064BA2C0" w14:textId="77777777" w:rsidR="0096135F" w:rsidRPr="00F33FCD" w:rsidRDefault="0096135F" w:rsidP="0096135F">
      <w:pPr>
        <w:pStyle w:val="BodyText"/>
        <w:rPr>
          <w:rFonts w:cstheme="minorHAnsi"/>
        </w:rPr>
      </w:pPr>
      <w:bookmarkStart w:id="123" w:name="_Hlk64983817"/>
      <w:r w:rsidRPr="00F33FCD">
        <w:rPr>
          <w:rFonts w:cstheme="minorHAnsi"/>
        </w:rPr>
        <w:t xml:space="preserve">Series A Units are generally available to all investors.  Series F Units are available to investors who have a fee-based account with their dealer, who has signed an agreement with us.  </w:t>
      </w:r>
      <w:bookmarkEnd w:id="123"/>
      <w:r w:rsidRPr="00F33FCD">
        <w:rPr>
          <w:rFonts w:cstheme="minorHAnsi"/>
        </w:rPr>
        <w:t xml:space="preserve">Series O Units are available to investors who have an account with us and enter into a fee agreement with us or whose dealer has entered into a Series O Units distribution agreement with us.  No management fees are payable to us by the Fund in respect of Series O Units; rather, the holder of the Series O Units pays management fees to us separately, as agreed to in such fee agreement with the holder or in such Series O Units distribution agreement with the holder’s dealer.  There are no sales charges when you purchase Series A Units, Series F Units or Series O Units. Series O investors should consult their own tax advisors regarding the tax treatment of management fees paid directly by the investor.  </w:t>
      </w:r>
    </w:p>
    <w:p w14:paraId="1E9DAF25" w14:textId="3E6625EB" w:rsidR="0096135F" w:rsidRPr="00F33FCD" w:rsidRDefault="0096135F" w:rsidP="0096135F">
      <w:pPr>
        <w:autoSpaceDE w:val="0"/>
        <w:autoSpaceDN w:val="0"/>
        <w:adjustRightInd w:val="0"/>
        <w:rPr>
          <w:rFonts w:ascii="Arial" w:hAnsi="Arial" w:cs="Arial"/>
          <w:lang w:val="en-US"/>
        </w:rPr>
      </w:pPr>
      <w:r w:rsidRPr="00F33FCD">
        <w:rPr>
          <w:rFonts w:ascii="Arial" w:hAnsi="Arial" w:cs="Arial"/>
          <w:lang w:val="en-US"/>
        </w:rPr>
        <w:t xml:space="preserve">As a Unitholder of the Fund, you are generally entitled to participate </w:t>
      </w:r>
      <w:r w:rsidRPr="00F33FCD">
        <w:rPr>
          <w:rFonts w:ascii="Arial" w:hAnsi="Arial" w:cs="Arial"/>
          <w:i/>
          <w:iCs/>
          <w:lang w:val="en-US"/>
        </w:rPr>
        <w:t xml:space="preserve">pro rata </w:t>
      </w:r>
      <w:r w:rsidRPr="00F33FCD">
        <w:rPr>
          <w:rFonts w:ascii="Arial" w:hAnsi="Arial" w:cs="Arial"/>
          <w:lang w:val="en-US"/>
        </w:rPr>
        <w:t xml:space="preserve">in the net income and net capital gains of the Fund that are attributable to the Units you hold.  On liquidation, you are entitled to participate </w:t>
      </w:r>
      <w:r w:rsidRPr="00F33FCD">
        <w:rPr>
          <w:rFonts w:ascii="Arial" w:hAnsi="Arial" w:cs="Arial"/>
          <w:i/>
          <w:iCs/>
          <w:lang w:val="en-US"/>
        </w:rPr>
        <w:t xml:space="preserve">pro rata </w:t>
      </w:r>
      <w:r w:rsidRPr="00F33FCD">
        <w:rPr>
          <w:rFonts w:ascii="Arial" w:hAnsi="Arial" w:cs="Arial"/>
          <w:lang w:val="en-US"/>
        </w:rPr>
        <w:t xml:space="preserve">in the net assets of the Fund remaining after satisfaction of outstanding liabilities that are attributable to the Units you hold.  You may not transfer or assign Units but may redeem your Units on demand.  You have no ownership rights in any assets of the Fund.  As a Unitholder, you have no special rights to buy other Units.  </w:t>
      </w:r>
    </w:p>
    <w:p w14:paraId="1D874678" w14:textId="20477BDD" w:rsidR="00FF7AC6" w:rsidRPr="00F33FCD" w:rsidRDefault="00FF7AC6" w:rsidP="00FB000E">
      <w:pPr>
        <w:rPr>
          <w:b/>
          <w:bCs/>
          <w:lang w:val="en-US"/>
        </w:rPr>
      </w:pPr>
      <w:r w:rsidRPr="00F33FCD">
        <w:rPr>
          <w:b/>
          <w:bCs/>
          <w:lang w:val="en-US"/>
        </w:rPr>
        <w:t xml:space="preserve">Meetings of Unitholders and Unit </w:t>
      </w:r>
      <w:r w:rsidR="00E3159A">
        <w:rPr>
          <w:b/>
          <w:bCs/>
          <w:lang w:val="en-US"/>
        </w:rPr>
        <w:t>Voting Rights</w:t>
      </w:r>
    </w:p>
    <w:p w14:paraId="69A72529" w14:textId="77777777" w:rsidR="00FF7AC6" w:rsidRPr="00F33FCD" w:rsidRDefault="00FF7AC6" w:rsidP="00FF7AC6">
      <w:pPr>
        <w:pStyle w:val="BodyText"/>
        <w:rPr>
          <w:rFonts w:ascii="Arial" w:hAnsi="Arial" w:cs="Arial"/>
        </w:rPr>
      </w:pPr>
      <w:r w:rsidRPr="00F33FCD">
        <w:rPr>
          <w:rFonts w:ascii="Arial" w:hAnsi="Arial" w:cs="Arial"/>
        </w:rPr>
        <w:t xml:space="preserve">A meeting of the Unitholders voting as a single series (unless the circumstances are such that one series is affected differently from the other, in which case the holders of each series of Units of the Fund will vote separately) may be called at any time by </w:t>
      </w:r>
      <w:proofErr w:type="spellStart"/>
      <w:r w:rsidRPr="00F33FCD">
        <w:rPr>
          <w:rFonts w:ascii="Arial" w:hAnsi="Arial" w:cs="Arial"/>
        </w:rPr>
        <w:t>Barrantagh</w:t>
      </w:r>
      <w:proofErr w:type="spellEnd"/>
      <w:r w:rsidRPr="00F33FCD">
        <w:rPr>
          <w:rFonts w:ascii="Arial" w:hAnsi="Arial" w:cs="Arial"/>
        </w:rPr>
        <w:t>.  Except as otherwise required or permitted by law, notice of meetings of Unitholders will be given not less than 21 days nor more than 50 days before the meeting.  At any meeting of Unitholders, a quorum shall consist of two or more Unitholders present in person or by proxy.  If no quorum is present at such meeting within one-half hour after the time fixed for the holding of such meeting, the meeting shall stand adjourned and will be held at the same time and place on the day which is not less than five days later.  Unitholders present in person or represented by proxy at such an adjourned meeting will constitute a quorum.</w:t>
      </w:r>
    </w:p>
    <w:p w14:paraId="4C497F3E" w14:textId="72583C66" w:rsidR="00FF7AC6" w:rsidRPr="00F33FCD" w:rsidRDefault="00FF7AC6" w:rsidP="00FB000E">
      <w:pPr>
        <w:rPr>
          <w:b/>
          <w:bCs/>
        </w:rPr>
      </w:pPr>
      <w:bookmarkStart w:id="124" w:name="_Toc451954651"/>
      <w:bookmarkStart w:id="125" w:name="_Toc451954945"/>
      <w:bookmarkStart w:id="126" w:name="_Toc451956499"/>
      <w:bookmarkStart w:id="127" w:name="_Toc456271968"/>
      <w:bookmarkStart w:id="128" w:name="_Toc456287052"/>
      <w:r w:rsidRPr="00F33FCD">
        <w:rPr>
          <w:b/>
          <w:bCs/>
        </w:rPr>
        <w:t xml:space="preserve">Matters </w:t>
      </w:r>
      <w:r w:rsidR="00E3159A" w:rsidRPr="00F33FCD">
        <w:rPr>
          <w:b/>
          <w:bCs/>
        </w:rPr>
        <w:t xml:space="preserve">Requiring </w:t>
      </w:r>
      <w:r w:rsidRPr="00F33FCD">
        <w:rPr>
          <w:b/>
          <w:bCs/>
        </w:rPr>
        <w:t xml:space="preserve">Unitholders’ </w:t>
      </w:r>
      <w:bookmarkEnd w:id="124"/>
      <w:bookmarkEnd w:id="125"/>
      <w:bookmarkEnd w:id="126"/>
      <w:bookmarkEnd w:id="127"/>
      <w:bookmarkEnd w:id="128"/>
      <w:r w:rsidR="00E3159A" w:rsidRPr="00F33FCD">
        <w:rPr>
          <w:b/>
          <w:bCs/>
        </w:rPr>
        <w:t>Approval</w:t>
      </w:r>
    </w:p>
    <w:p w14:paraId="3AA35633" w14:textId="383C665D" w:rsidR="00FF7AC6" w:rsidRPr="00C576B1" w:rsidRDefault="00FF7AC6" w:rsidP="00FF7AC6">
      <w:pPr>
        <w:pStyle w:val="BodyText"/>
        <w:rPr>
          <w:rFonts w:ascii="Arial" w:hAnsi="Arial" w:cs="Arial"/>
          <w:color w:val="7030A0"/>
        </w:rPr>
      </w:pPr>
      <w:r w:rsidRPr="00F33FCD">
        <w:rPr>
          <w:rFonts w:ascii="Arial" w:hAnsi="Arial" w:cs="Arial"/>
        </w:rPr>
        <w:t xml:space="preserve">As </w:t>
      </w:r>
      <w:r w:rsidRPr="00C576B1">
        <w:rPr>
          <w:rFonts w:ascii="Arial" w:hAnsi="Arial" w:cs="Arial"/>
        </w:rPr>
        <w:t>required by NI 81-102, a meeting of the Unitholders of the Fund will be called to approve certain changes as follows</w:t>
      </w:r>
      <w:r w:rsidRPr="00C576B1">
        <w:rPr>
          <w:rFonts w:ascii="Arial" w:hAnsi="Arial" w:cs="Arial"/>
          <w:color w:val="7030A0"/>
        </w:rPr>
        <w:t>:</w:t>
      </w:r>
      <w:r w:rsidR="00E94C6C" w:rsidRPr="00C576B1">
        <w:rPr>
          <w:rFonts w:ascii="Arial" w:hAnsi="Arial" w:cs="Arial"/>
          <w:color w:val="7030A0"/>
        </w:rPr>
        <w:t xml:space="preserve"> </w:t>
      </w:r>
    </w:p>
    <w:p w14:paraId="272EB2DA" w14:textId="5FF895AE" w:rsidR="00FF7AC6" w:rsidRPr="00C576B1" w:rsidRDefault="00FF7AC6" w:rsidP="005D30FB">
      <w:pPr>
        <w:pStyle w:val="BodyTextIndent"/>
        <w:numPr>
          <w:ilvl w:val="0"/>
          <w:numId w:val="28"/>
        </w:numPr>
        <w:rPr>
          <w:rFonts w:ascii="Arial" w:hAnsi="Arial" w:cs="Arial"/>
        </w:rPr>
      </w:pPr>
      <w:r w:rsidRPr="00C576B1">
        <w:rPr>
          <w:rFonts w:ascii="Arial" w:hAnsi="Arial" w:cs="Arial"/>
        </w:rPr>
        <w:t>the basis of the calculation of a fee or expense that is charged to the Fund is changed in a way that could result in an increase in charges to the Fund, except where:</w:t>
      </w:r>
    </w:p>
    <w:p w14:paraId="504DB022" w14:textId="52D07D2A" w:rsidR="005D30FB" w:rsidRPr="00C576B1" w:rsidRDefault="005D30FB" w:rsidP="005D30FB">
      <w:pPr>
        <w:pStyle w:val="Number6"/>
        <w:tabs>
          <w:tab w:val="clear" w:pos="4374"/>
          <w:tab w:val="num" w:pos="4500"/>
        </w:tabs>
        <w:ind w:left="2160"/>
        <w:jc w:val="both"/>
        <w:rPr>
          <w:rFonts w:ascii="Arial" w:hAnsi="Arial" w:cs="Arial"/>
          <w:sz w:val="22"/>
          <w:szCs w:val="22"/>
        </w:rPr>
      </w:pPr>
      <w:r w:rsidRPr="00C576B1">
        <w:rPr>
          <w:rFonts w:ascii="Arial" w:hAnsi="Arial" w:cs="Arial"/>
          <w:sz w:val="22"/>
          <w:szCs w:val="22"/>
        </w:rPr>
        <w:t>the Fund is at arm’s length to the person or company charging the fee or expense</w:t>
      </w:r>
      <w:r w:rsidR="004C61AF" w:rsidRPr="00C576B1">
        <w:rPr>
          <w:rFonts w:ascii="Arial" w:hAnsi="Arial" w:cs="Arial"/>
          <w:sz w:val="22"/>
          <w:szCs w:val="22"/>
        </w:rPr>
        <w:t>;</w:t>
      </w:r>
    </w:p>
    <w:p w14:paraId="70D2556F" w14:textId="77777777" w:rsidR="005814A1" w:rsidRPr="00C576B1" w:rsidRDefault="00FF7AC6" w:rsidP="00737AF3">
      <w:pPr>
        <w:pStyle w:val="Number6"/>
        <w:tabs>
          <w:tab w:val="clear" w:pos="4374"/>
          <w:tab w:val="num" w:pos="4500"/>
        </w:tabs>
        <w:ind w:left="2160"/>
        <w:jc w:val="both"/>
        <w:rPr>
          <w:rFonts w:ascii="Arial" w:hAnsi="Arial" w:cs="Arial"/>
          <w:sz w:val="22"/>
          <w:szCs w:val="22"/>
        </w:rPr>
      </w:pPr>
      <w:r w:rsidRPr="00C576B1">
        <w:rPr>
          <w:rFonts w:ascii="Arial" w:hAnsi="Arial" w:cs="Arial"/>
          <w:sz w:val="22"/>
          <w:szCs w:val="22"/>
        </w:rPr>
        <w:t>the Unitholders have received at least 60 days’ notice of this before the effective date of the change</w:t>
      </w:r>
      <w:r w:rsidR="00420329" w:rsidRPr="00C576B1">
        <w:rPr>
          <w:rFonts w:ascii="Arial" w:hAnsi="Arial" w:cs="Arial"/>
          <w:sz w:val="22"/>
          <w:szCs w:val="22"/>
        </w:rPr>
        <w:t>;</w:t>
      </w:r>
      <w:r w:rsidRPr="00C576B1">
        <w:rPr>
          <w:rFonts w:ascii="Arial" w:hAnsi="Arial" w:cs="Arial"/>
          <w:sz w:val="22"/>
          <w:szCs w:val="22"/>
        </w:rPr>
        <w:t xml:space="preserve"> and</w:t>
      </w:r>
    </w:p>
    <w:p w14:paraId="45CB5090" w14:textId="081D8DB7" w:rsidR="00FF7AC6" w:rsidRPr="00C576B1" w:rsidRDefault="00FF7AC6" w:rsidP="002744C4">
      <w:pPr>
        <w:pStyle w:val="Number6"/>
        <w:tabs>
          <w:tab w:val="clear" w:pos="4374"/>
          <w:tab w:val="num" w:pos="4500"/>
        </w:tabs>
        <w:ind w:left="2160"/>
        <w:jc w:val="both"/>
        <w:rPr>
          <w:rFonts w:ascii="Arial" w:hAnsi="Arial" w:cs="Arial"/>
          <w:sz w:val="22"/>
          <w:szCs w:val="22"/>
        </w:rPr>
      </w:pPr>
      <w:r w:rsidRPr="00C576B1">
        <w:rPr>
          <w:rFonts w:ascii="Arial" w:hAnsi="Arial" w:cs="Arial"/>
          <w:sz w:val="22"/>
          <w:szCs w:val="22"/>
        </w:rPr>
        <w:t>the right to notice described in (ii) is disclosed in the prospectus of the Fund;</w:t>
      </w:r>
    </w:p>
    <w:p w14:paraId="23DE8FB0" w14:textId="50C38ABC" w:rsidR="00FF7AC6" w:rsidRPr="006C731C" w:rsidRDefault="00FF7AC6" w:rsidP="006C731C">
      <w:pPr>
        <w:pStyle w:val="BodyTextIndent"/>
        <w:numPr>
          <w:ilvl w:val="0"/>
          <w:numId w:val="28"/>
        </w:numPr>
        <w:rPr>
          <w:rFonts w:ascii="Arial" w:hAnsi="Arial" w:cs="Arial"/>
        </w:rPr>
      </w:pPr>
      <w:r w:rsidRPr="00F33FCD">
        <w:rPr>
          <w:rFonts w:ascii="Arial" w:hAnsi="Arial" w:cs="Arial"/>
        </w:rPr>
        <w:lastRenderedPageBreak/>
        <w:t xml:space="preserve">a fee or expense is introduced that is to be charged to the Fund or directly to its </w:t>
      </w:r>
      <w:r w:rsidRPr="006C731C">
        <w:rPr>
          <w:rFonts w:ascii="Arial" w:hAnsi="Arial" w:cs="Arial"/>
        </w:rPr>
        <w:t xml:space="preserve">Unitholders by the Fund or </w:t>
      </w:r>
      <w:proofErr w:type="spellStart"/>
      <w:r w:rsidRPr="006C731C">
        <w:rPr>
          <w:rFonts w:ascii="Arial" w:hAnsi="Arial" w:cs="Arial"/>
        </w:rPr>
        <w:t>Barrantagh</w:t>
      </w:r>
      <w:proofErr w:type="spellEnd"/>
      <w:r w:rsidRPr="006C731C">
        <w:rPr>
          <w:rFonts w:ascii="Arial" w:hAnsi="Arial" w:cs="Arial"/>
        </w:rPr>
        <w:t xml:space="preserve"> in connection with the holding of units of the Fund that could result in an increase in charges to the Fund or its Unitholders, except where:</w:t>
      </w:r>
    </w:p>
    <w:p w14:paraId="5CE15B15" w14:textId="77777777" w:rsidR="006C731C" w:rsidRPr="006C731C" w:rsidRDefault="006C731C" w:rsidP="006C731C">
      <w:pPr>
        <w:pStyle w:val="Number9"/>
        <w:tabs>
          <w:tab w:val="clear" w:pos="6534"/>
        </w:tabs>
        <w:ind w:left="2160"/>
        <w:jc w:val="both"/>
        <w:rPr>
          <w:rFonts w:ascii="Arial" w:hAnsi="Arial" w:cs="Arial"/>
          <w:sz w:val="22"/>
          <w:szCs w:val="22"/>
        </w:rPr>
      </w:pPr>
      <w:r w:rsidRPr="006C731C">
        <w:rPr>
          <w:rFonts w:ascii="Arial" w:hAnsi="Arial" w:cs="Arial"/>
          <w:sz w:val="22"/>
          <w:szCs w:val="22"/>
        </w:rPr>
        <w:t>the Fund is at arm’s length to the person or company charging the fee or expense;</w:t>
      </w:r>
    </w:p>
    <w:p w14:paraId="65146A34" w14:textId="77777777" w:rsidR="006C731C" w:rsidRPr="006C731C" w:rsidRDefault="00FF7AC6" w:rsidP="006C731C">
      <w:pPr>
        <w:pStyle w:val="Number9"/>
        <w:tabs>
          <w:tab w:val="clear" w:pos="6534"/>
        </w:tabs>
        <w:ind w:left="2160"/>
        <w:jc w:val="both"/>
        <w:rPr>
          <w:rFonts w:ascii="Arial" w:hAnsi="Arial" w:cs="Arial"/>
          <w:sz w:val="22"/>
          <w:szCs w:val="22"/>
        </w:rPr>
      </w:pPr>
      <w:r w:rsidRPr="006C731C">
        <w:rPr>
          <w:rFonts w:ascii="Arial" w:hAnsi="Arial" w:cs="Arial"/>
          <w:sz w:val="22"/>
          <w:szCs w:val="22"/>
        </w:rPr>
        <w:t>the Unitholders have received at least 60 days’ notice of this before the effective date of the change</w:t>
      </w:r>
      <w:r w:rsidR="00420329" w:rsidRPr="006C731C">
        <w:rPr>
          <w:rFonts w:ascii="Arial" w:hAnsi="Arial" w:cs="Arial"/>
          <w:sz w:val="22"/>
          <w:szCs w:val="22"/>
        </w:rPr>
        <w:t>;</w:t>
      </w:r>
      <w:r w:rsidRPr="006C731C">
        <w:rPr>
          <w:rFonts w:ascii="Arial" w:hAnsi="Arial" w:cs="Arial"/>
          <w:sz w:val="22"/>
          <w:szCs w:val="22"/>
        </w:rPr>
        <w:t xml:space="preserve"> and</w:t>
      </w:r>
    </w:p>
    <w:p w14:paraId="711E2EE8" w14:textId="53FE7D29" w:rsidR="00FF7AC6" w:rsidRPr="006C731C" w:rsidRDefault="00FF7AC6" w:rsidP="006C731C">
      <w:pPr>
        <w:pStyle w:val="Number9"/>
        <w:tabs>
          <w:tab w:val="clear" w:pos="6534"/>
        </w:tabs>
        <w:ind w:left="2160"/>
        <w:jc w:val="both"/>
        <w:rPr>
          <w:rFonts w:ascii="Arial" w:hAnsi="Arial" w:cs="Arial"/>
          <w:sz w:val="22"/>
          <w:szCs w:val="22"/>
        </w:rPr>
      </w:pPr>
      <w:r w:rsidRPr="006C731C">
        <w:rPr>
          <w:rFonts w:ascii="Arial" w:hAnsi="Arial" w:cs="Arial"/>
          <w:sz w:val="22"/>
          <w:szCs w:val="22"/>
        </w:rPr>
        <w:t>the right to notice described in (ii) is disclosed in the prospectus of the Fund;</w:t>
      </w:r>
    </w:p>
    <w:p w14:paraId="2DFA79D0" w14:textId="77777777" w:rsidR="00FF7AC6" w:rsidRPr="006C731C" w:rsidRDefault="00FF7AC6" w:rsidP="006C731C">
      <w:pPr>
        <w:pStyle w:val="BodyTextIndent"/>
        <w:ind w:left="1440" w:hanging="720"/>
        <w:rPr>
          <w:rFonts w:ascii="Arial" w:hAnsi="Arial" w:cs="Arial"/>
        </w:rPr>
      </w:pPr>
      <w:r w:rsidRPr="006C731C">
        <w:rPr>
          <w:rFonts w:ascii="Arial" w:hAnsi="Arial" w:cs="Arial"/>
        </w:rPr>
        <w:t>(c)</w:t>
      </w:r>
      <w:r w:rsidRPr="006C731C">
        <w:rPr>
          <w:rFonts w:ascii="Arial" w:hAnsi="Arial" w:cs="Arial"/>
        </w:rPr>
        <w:tab/>
        <w:t xml:space="preserve">the manager is changed, unless the new manager of the Fund is an affiliate of </w:t>
      </w:r>
      <w:proofErr w:type="spellStart"/>
      <w:r w:rsidRPr="006C731C">
        <w:rPr>
          <w:rFonts w:ascii="Arial" w:hAnsi="Arial" w:cs="Arial"/>
        </w:rPr>
        <w:t>Barrantagh</w:t>
      </w:r>
      <w:proofErr w:type="spellEnd"/>
      <w:r w:rsidRPr="006C731C">
        <w:rPr>
          <w:rFonts w:ascii="Arial" w:hAnsi="Arial" w:cs="Arial"/>
        </w:rPr>
        <w:t>;</w:t>
      </w:r>
    </w:p>
    <w:p w14:paraId="7D1FDA07" w14:textId="77777777" w:rsidR="00FF7AC6" w:rsidRPr="00F33FCD" w:rsidRDefault="00FF7AC6" w:rsidP="00FF7AC6">
      <w:pPr>
        <w:pStyle w:val="BodyTextIndent"/>
        <w:ind w:left="1440" w:hanging="720"/>
        <w:rPr>
          <w:rFonts w:ascii="Arial" w:hAnsi="Arial" w:cs="Arial"/>
        </w:rPr>
      </w:pPr>
      <w:r w:rsidRPr="00F33FCD">
        <w:rPr>
          <w:rFonts w:ascii="Arial" w:hAnsi="Arial" w:cs="Arial"/>
        </w:rPr>
        <w:t>(d)</w:t>
      </w:r>
      <w:r w:rsidRPr="00F33FCD">
        <w:rPr>
          <w:rFonts w:ascii="Arial" w:hAnsi="Arial" w:cs="Arial"/>
        </w:rPr>
        <w:tab/>
        <w:t>the fundamental investment objectives of the Fund are changed;</w:t>
      </w:r>
    </w:p>
    <w:p w14:paraId="49FC4AF5" w14:textId="77777777" w:rsidR="00FF7AC6" w:rsidRPr="00F33FCD" w:rsidRDefault="00FF7AC6" w:rsidP="00FF7AC6">
      <w:pPr>
        <w:pStyle w:val="BodyTextIndent"/>
        <w:ind w:left="1440" w:hanging="720"/>
        <w:rPr>
          <w:rFonts w:ascii="Arial" w:hAnsi="Arial" w:cs="Arial"/>
        </w:rPr>
      </w:pPr>
      <w:r w:rsidRPr="00F33FCD">
        <w:rPr>
          <w:rFonts w:ascii="Arial" w:hAnsi="Arial" w:cs="Arial"/>
        </w:rPr>
        <w:t>(e)</w:t>
      </w:r>
      <w:r w:rsidRPr="00F33FCD">
        <w:rPr>
          <w:rFonts w:ascii="Arial" w:hAnsi="Arial" w:cs="Arial"/>
        </w:rPr>
        <w:tab/>
        <w:t>the Fund decreases the frequency of the calculation of the NAV per Unit;</w:t>
      </w:r>
    </w:p>
    <w:p w14:paraId="6ED48220" w14:textId="77777777" w:rsidR="00FF7AC6" w:rsidRPr="00F33FCD" w:rsidRDefault="00FF7AC6" w:rsidP="00FF7AC6">
      <w:pPr>
        <w:pStyle w:val="BodyTextIndent"/>
        <w:ind w:left="1440" w:hanging="720"/>
        <w:rPr>
          <w:rFonts w:ascii="Arial" w:hAnsi="Arial" w:cs="Arial"/>
        </w:rPr>
      </w:pPr>
      <w:r w:rsidRPr="00F33FCD">
        <w:rPr>
          <w:rFonts w:ascii="Arial" w:hAnsi="Arial" w:cs="Arial"/>
        </w:rPr>
        <w:t>(f)</w:t>
      </w:r>
      <w:r w:rsidRPr="00F33FCD">
        <w:rPr>
          <w:rFonts w:ascii="Arial" w:hAnsi="Arial" w:cs="Arial"/>
        </w:rPr>
        <w:tab/>
        <w:t>the Fund undertakes a reorganization with, or transfers its assets to, another mutual fund, if the Fund ceases to continue after the reorganization or transfer of assets and the transaction results in the Unitholders of the Fund becoming Unitholders in the other mutual fund, unless:</w:t>
      </w:r>
    </w:p>
    <w:p w14:paraId="6990FFC2" w14:textId="77777777" w:rsidR="00FF7AC6" w:rsidRPr="00F33FCD" w:rsidRDefault="00FF7AC6" w:rsidP="00FF7AC6">
      <w:pPr>
        <w:pStyle w:val="BodyTextIndent2"/>
        <w:ind w:left="2160" w:hanging="720"/>
        <w:rPr>
          <w:rFonts w:ascii="Arial" w:hAnsi="Arial" w:cs="Arial"/>
        </w:rPr>
      </w:pPr>
      <w:r w:rsidRPr="00F33FCD">
        <w:rPr>
          <w:rFonts w:ascii="Arial" w:hAnsi="Arial" w:cs="Arial"/>
        </w:rPr>
        <w:t>(i)</w:t>
      </w:r>
      <w:r w:rsidRPr="00F33FCD">
        <w:rPr>
          <w:rFonts w:ascii="Arial" w:hAnsi="Arial" w:cs="Arial"/>
        </w:rPr>
        <w:tab/>
        <w:t>the IRC has approved the change;</w:t>
      </w:r>
    </w:p>
    <w:p w14:paraId="7AB0924F" w14:textId="77777777" w:rsidR="00FF7AC6" w:rsidRPr="00F33FCD" w:rsidRDefault="00FF7AC6" w:rsidP="00FF7AC6">
      <w:pPr>
        <w:pStyle w:val="BodyTextIndent2"/>
        <w:ind w:left="2160" w:hanging="720"/>
        <w:rPr>
          <w:rFonts w:ascii="Arial" w:hAnsi="Arial" w:cs="Arial"/>
        </w:rPr>
      </w:pPr>
      <w:r w:rsidRPr="00F33FCD">
        <w:rPr>
          <w:rFonts w:ascii="Arial" w:hAnsi="Arial" w:cs="Arial"/>
        </w:rPr>
        <w:t>(ii)</w:t>
      </w:r>
      <w:r w:rsidRPr="00F33FCD">
        <w:rPr>
          <w:rFonts w:ascii="Arial" w:hAnsi="Arial" w:cs="Arial"/>
        </w:rPr>
        <w:tab/>
        <w:t xml:space="preserve">the Fund is being reorganized with, or its assets are being transferred to, another mutual fund to which NI 81-102 and NI 81-107 apply and that is managed by </w:t>
      </w:r>
      <w:proofErr w:type="spellStart"/>
      <w:r w:rsidRPr="00F33FCD">
        <w:rPr>
          <w:rFonts w:ascii="Arial" w:hAnsi="Arial" w:cs="Arial"/>
        </w:rPr>
        <w:t>Barrantagh</w:t>
      </w:r>
      <w:proofErr w:type="spellEnd"/>
      <w:r w:rsidRPr="00F33FCD">
        <w:rPr>
          <w:rFonts w:ascii="Arial" w:hAnsi="Arial" w:cs="Arial"/>
        </w:rPr>
        <w:t xml:space="preserve">, or an affiliate of </w:t>
      </w:r>
      <w:proofErr w:type="spellStart"/>
      <w:r w:rsidRPr="00F33FCD">
        <w:rPr>
          <w:rFonts w:ascii="Arial" w:hAnsi="Arial" w:cs="Arial"/>
        </w:rPr>
        <w:t>Barrantagh</w:t>
      </w:r>
      <w:proofErr w:type="spellEnd"/>
      <w:r w:rsidRPr="00F33FCD">
        <w:rPr>
          <w:rFonts w:ascii="Arial" w:hAnsi="Arial" w:cs="Arial"/>
        </w:rPr>
        <w:t>;</w:t>
      </w:r>
    </w:p>
    <w:p w14:paraId="62E9E2EC" w14:textId="77777777" w:rsidR="00FF7AC6" w:rsidRPr="00F33FCD" w:rsidRDefault="00FF7AC6" w:rsidP="00FF7AC6">
      <w:pPr>
        <w:pStyle w:val="BodyTextIndent2"/>
        <w:ind w:left="2160" w:hanging="720"/>
        <w:rPr>
          <w:rFonts w:ascii="Arial" w:hAnsi="Arial" w:cs="Arial"/>
        </w:rPr>
      </w:pPr>
      <w:r w:rsidRPr="00F33FCD">
        <w:rPr>
          <w:rFonts w:ascii="Arial" w:hAnsi="Arial" w:cs="Arial"/>
        </w:rPr>
        <w:t>(iii)</w:t>
      </w:r>
      <w:r w:rsidRPr="00F33FCD">
        <w:rPr>
          <w:rFonts w:ascii="Arial" w:hAnsi="Arial" w:cs="Arial"/>
        </w:rPr>
        <w:tab/>
        <w:t>the Unitholders have received at least 60 days’ notice before the effective date of the change;</w:t>
      </w:r>
    </w:p>
    <w:p w14:paraId="41B36C40" w14:textId="77777777" w:rsidR="00FF7AC6" w:rsidRPr="00F33FCD" w:rsidRDefault="00FF7AC6" w:rsidP="00FF7AC6">
      <w:pPr>
        <w:pStyle w:val="BodyTextIndent2"/>
        <w:ind w:left="2160" w:hanging="720"/>
        <w:rPr>
          <w:rFonts w:ascii="Arial" w:hAnsi="Arial" w:cs="Arial"/>
        </w:rPr>
      </w:pPr>
      <w:r w:rsidRPr="00F33FCD">
        <w:rPr>
          <w:rFonts w:ascii="Arial" w:hAnsi="Arial" w:cs="Arial"/>
        </w:rPr>
        <w:t>(iv)</w:t>
      </w:r>
      <w:r w:rsidRPr="00F33FCD">
        <w:rPr>
          <w:rFonts w:ascii="Arial" w:hAnsi="Arial" w:cs="Arial"/>
        </w:rPr>
        <w:tab/>
        <w:t>the right to notice described in (iii) is disclosed in the prospectus of the Fund; and</w:t>
      </w:r>
    </w:p>
    <w:p w14:paraId="1B4C9809" w14:textId="77777777" w:rsidR="00FF7AC6" w:rsidRPr="00F33FCD" w:rsidRDefault="00FF7AC6" w:rsidP="00FF7AC6">
      <w:pPr>
        <w:pStyle w:val="BodyTextIndent2"/>
        <w:ind w:left="2160" w:hanging="720"/>
        <w:rPr>
          <w:rFonts w:ascii="Arial" w:hAnsi="Arial" w:cs="Arial"/>
        </w:rPr>
      </w:pPr>
      <w:r w:rsidRPr="00F33FCD">
        <w:rPr>
          <w:rFonts w:ascii="Arial" w:hAnsi="Arial" w:cs="Arial"/>
        </w:rPr>
        <w:t>(v)</w:t>
      </w:r>
      <w:r w:rsidRPr="00F33FCD">
        <w:rPr>
          <w:rFonts w:ascii="Arial" w:hAnsi="Arial" w:cs="Arial"/>
        </w:rPr>
        <w:tab/>
        <w:t>the transaction complies with certain other requirements of applicable Canadian securities legislation;</w:t>
      </w:r>
    </w:p>
    <w:p w14:paraId="6471615E" w14:textId="77777777" w:rsidR="00FF7AC6" w:rsidRPr="00F33FCD" w:rsidRDefault="00FF7AC6" w:rsidP="00FF7AC6">
      <w:pPr>
        <w:pStyle w:val="BodyTextIndent"/>
        <w:ind w:left="1440" w:hanging="720"/>
        <w:rPr>
          <w:rFonts w:ascii="Arial" w:hAnsi="Arial" w:cs="Arial"/>
        </w:rPr>
      </w:pPr>
      <w:r w:rsidRPr="00F33FCD">
        <w:rPr>
          <w:rFonts w:ascii="Arial" w:hAnsi="Arial" w:cs="Arial"/>
        </w:rPr>
        <w:t>(g)</w:t>
      </w:r>
      <w:r w:rsidRPr="00F33FCD">
        <w:rPr>
          <w:rFonts w:ascii="Arial" w:hAnsi="Arial" w:cs="Arial"/>
        </w:rPr>
        <w:tab/>
        <w:t>the Fund undertakes a reorganization with, or acquires assets from, another mutual fund, if the Fund continues after the reorganization or acquisition of assets, the transaction results in the Unitholders of the other mutual fund becoming Unitholders of the Fund, and the transaction would be a material change to the Fund; or</w:t>
      </w:r>
    </w:p>
    <w:p w14:paraId="6CB133A7" w14:textId="77777777" w:rsidR="00FF7AC6" w:rsidRPr="00F33FCD" w:rsidRDefault="00FF7AC6" w:rsidP="00FF7AC6">
      <w:pPr>
        <w:pStyle w:val="BodyTextIndent"/>
        <w:ind w:left="1440" w:hanging="720"/>
        <w:rPr>
          <w:rFonts w:ascii="Arial" w:hAnsi="Arial" w:cs="Arial"/>
        </w:rPr>
      </w:pPr>
      <w:r w:rsidRPr="00F33FCD">
        <w:rPr>
          <w:rFonts w:ascii="Arial" w:hAnsi="Arial" w:cs="Arial"/>
        </w:rPr>
        <w:t>(h)</w:t>
      </w:r>
      <w:r w:rsidRPr="00F33FCD">
        <w:rPr>
          <w:rFonts w:ascii="Arial" w:hAnsi="Arial" w:cs="Arial"/>
        </w:rPr>
        <w:tab/>
        <w:t>any other matter which is required by law applicable to the Fund or otherwise to be submitted to a vote of the Unitholders of the Fund.</w:t>
      </w:r>
    </w:p>
    <w:p w14:paraId="65178C12" w14:textId="77777777" w:rsidR="00FF7AC6" w:rsidRPr="00F33FCD" w:rsidRDefault="00FF7AC6" w:rsidP="00FF7AC6">
      <w:pPr>
        <w:pStyle w:val="BodyText"/>
        <w:rPr>
          <w:rFonts w:ascii="Arial" w:hAnsi="Arial" w:cs="Arial"/>
        </w:rPr>
      </w:pPr>
      <w:r w:rsidRPr="00F33FCD">
        <w:rPr>
          <w:rFonts w:ascii="Arial" w:hAnsi="Arial" w:cs="Arial"/>
        </w:rPr>
        <w:t xml:space="preserve">Approval of Unitholders will be deemed to have been given if expressed by resolution passed at a meeting of Unitholders duly called and held for the purpose of considering the same, by at least </w:t>
      </w:r>
      <w:r w:rsidRPr="00F33FCD">
        <w:rPr>
          <w:rFonts w:ascii="Arial" w:hAnsi="Arial" w:cs="Arial"/>
        </w:rPr>
        <w:lastRenderedPageBreak/>
        <w:t>a majority of the votes cast.  Unitholders are entitled to one vote per unit</w:t>
      </w:r>
      <w:proofErr w:type="gramStart"/>
      <w:r w:rsidRPr="00F33FCD">
        <w:rPr>
          <w:rFonts w:ascii="Arial" w:hAnsi="Arial" w:cs="Arial"/>
        </w:rPr>
        <w:t>, as the case may be, held</w:t>
      </w:r>
      <w:proofErr w:type="gramEnd"/>
      <w:r w:rsidRPr="00F33FCD">
        <w:rPr>
          <w:rFonts w:ascii="Arial" w:hAnsi="Arial" w:cs="Arial"/>
        </w:rPr>
        <w:t xml:space="preserve"> on the record date established for voting at any meeting of Unitholders.</w:t>
      </w:r>
    </w:p>
    <w:p w14:paraId="536578DD" w14:textId="77777777" w:rsidR="00FF7AC6" w:rsidRPr="00F33FCD" w:rsidRDefault="00FF7AC6" w:rsidP="00FF7AC6">
      <w:pPr>
        <w:pStyle w:val="BodyText"/>
        <w:rPr>
          <w:rFonts w:ascii="Arial" w:hAnsi="Arial" w:cs="Arial"/>
        </w:rPr>
      </w:pPr>
      <w:r w:rsidRPr="00F33FCD">
        <w:rPr>
          <w:rFonts w:ascii="Arial" w:hAnsi="Arial" w:cs="Arial"/>
        </w:rPr>
        <w:t xml:space="preserve">The Fund may, without Unitholder approval, </w:t>
      </w:r>
      <w:proofErr w:type="gramStart"/>
      <w:r w:rsidRPr="00F33FCD">
        <w:rPr>
          <w:rFonts w:ascii="Arial" w:hAnsi="Arial" w:cs="Arial"/>
        </w:rPr>
        <w:t>enter into</w:t>
      </w:r>
      <w:proofErr w:type="gramEnd"/>
      <w:r w:rsidRPr="00F33FCD">
        <w:rPr>
          <w:rFonts w:ascii="Arial" w:hAnsi="Arial" w:cs="Arial"/>
        </w:rPr>
        <w:t xml:space="preserve"> a merger or other similar transaction that has the effect of combining the Fund or its assets (a “</w:t>
      </w:r>
      <w:r w:rsidRPr="00F33FCD">
        <w:rPr>
          <w:rFonts w:ascii="Arial" w:hAnsi="Arial" w:cs="Arial"/>
          <w:b/>
        </w:rPr>
        <w:t>Permitted Merger</w:t>
      </w:r>
      <w:r w:rsidRPr="00F33FCD">
        <w:rPr>
          <w:rFonts w:ascii="Arial" w:hAnsi="Arial" w:cs="Arial"/>
        </w:rPr>
        <w:t xml:space="preserve">”) with any other investment fund or funds managed by </w:t>
      </w:r>
      <w:proofErr w:type="spellStart"/>
      <w:r w:rsidRPr="00F33FCD">
        <w:rPr>
          <w:rFonts w:ascii="Arial" w:hAnsi="Arial" w:cs="Arial"/>
        </w:rPr>
        <w:t>Barrantagh</w:t>
      </w:r>
      <w:proofErr w:type="spellEnd"/>
      <w:r w:rsidRPr="00F33FCD">
        <w:rPr>
          <w:rFonts w:ascii="Arial" w:hAnsi="Arial" w:cs="Arial"/>
        </w:rPr>
        <w:t xml:space="preserve"> or an affiliate that have investment objectives that are substantially similar to those of the Fund, subject to:</w:t>
      </w:r>
    </w:p>
    <w:p w14:paraId="76DA8675" w14:textId="77777777" w:rsidR="00FF7AC6" w:rsidRPr="00F33FCD" w:rsidRDefault="00FF7AC6" w:rsidP="00FF7AC6">
      <w:pPr>
        <w:pStyle w:val="BodyTextIndent"/>
        <w:ind w:left="1440" w:hanging="720"/>
        <w:rPr>
          <w:rFonts w:ascii="Arial" w:hAnsi="Arial" w:cs="Arial"/>
        </w:rPr>
      </w:pPr>
      <w:r w:rsidRPr="00F33FCD">
        <w:rPr>
          <w:rFonts w:ascii="Arial" w:hAnsi="Arial" w:cs="Arial"/>
        </w:rPr>
        <w:t>(a)</w:t>
      </w:r>
      <w:r w:rsidRPr="00F33FCD">
        <w:rPr>
          <w:rFonts w:ascii="Arial" w:hAnsi="Arial" w:cs="Arial"/>
        </w:rPr>
        <w:tab/>
        <w:t>approval of the merger by the IRC;</w:t>
      </w:r>
    </w:p>
    <w:p w14:paraId="38651DFB" w14:textId="77777777" w:rsidR="00FF7AC6" w:rsidRPr="00F33FCD" w:rsidRDefault="00FF7AC6" w:rsidP="00FF7AC6">
      <w:pPr>
        <w:pStyle w:val="BodyTextIndent"/>
        <w:ind w:left="1440" w:hanging="720"/>
        <w:rPr>
          <w:rFonts w:ascii="Arial" w:hAnsi="Arial" w:cs="Arial"/>
        </w:rPr>
      </w:pPr>
      <w:r w:rsidRPr="00F33FCD">
        <w:rPr>
          <w:rFonts w:ascii="Arial" w:hAnsi="Arial" w:cs="Arial"/>
        </w:rPr>
        <w:t>(b)</w:t>
      </w:r>
      <w:r w:rsidRPr="00F33FCD">
        <w:rPr>
          <w:rFonts w:ascii="Arial" w:hAnsi="Arial" w:cs="Arial"/>
        </w:rPr>
        <w:tab/>
        <w:t>compliance with certain merger pre-approval conditions set out in section 5.6 of NI 81-102; and</w:t>
      </w:r>
    </w:p>
    <w:p w14:paraId="1A3BFA2E" w14:textId="77777777" w:rsidR="00FF7AC6" w:rsidRPr="00F33FCD" w:rsidRDefault="00FF7AC6" w:rsidP="00FF7AC6">
      <w:pPr>
        <w:pStyle w:val="BodyTextIndent"/>
        <w:ind w:left="1440" w:hanging="720"/>
        <w:rPr>
          <w:rFonts w:ascii="Arial" w:hAnsi="Arial" w:cs="Arial"/>
        </w:rPr>
      </w:pPr>
      <w:r w:rsidRPr="00F33FCD">
        <w:rPr>
          <w:rFonts w:ascii="Arial" w:hAnsi="Arial" w:cs="Arial"/>
        </w:rPr>
        <w:t>(c)</w:t>
      </w:r>
      <w:r w:rsidRPr="00F33FCD">
        <w:rPr>
          <w:rFonts w:ascii="Arial" w:hAnsi="Arial" w:cs="Arial"/>
        </w:rPr>
        <w:tab/>
        <w:t>written notice being given to Unitholders at least 60 days before the effective date of the merger.</w:t>
      </w:r>
    </w:p>
    <w:p w14:paraId="09F981F1" w14:textId="77777777" w:rsidR="00FF7AC6" w:rsidRPr="00F33FCD" w:rsidRDefault="00FF7AC6" w:rsidP="00FF7AC6">
      <w:pPr>
        <w:pStyle w:val="BodyText"/>
        <w:rPr>
          <w:rFonts w:ascii="Arial" w:hAnsi="Arial" w:cs="Arial"/>
        </w:rPr>
      </w:pPr>
      <w:r w:rsidRPr="00F33FCD">
        <w:rPr>
          <w:rFonts w:ascii="Arial" w:hAnsi="Arial" w:cs="Arial"/>
        </w:rPr>
        <w:t>In connection with a Permitted Merger, the merging funds will be valued at their respective NAVs for the purpose of such transaction.</w:t>
      </w:r>
    </w:p>
    <w:p w14:paraId="43FABC1D" w14:textId="77777777" w:rsidR="00FF7AC6" w:rsidRPr="00F33FCD" w:rsidRDefault="00FF7AC6" w:rsidP="00FF7AC6">
      <w:pPr>
        <w:pStyle w:val="BodyText"/>
        <w:rPr>
          <w:rFonts w:ascii="Arial" w:hAnsi="Arial" w:cs="Arial"/>
        </w:rPr>
      </w:pPr>
      <w:r w:rsidRPr="00F33FCD">
        <w:rPr>
          <w:rFonts w:ascii="Arial" w:hAnsi="Arial" w:cs="Arial"/>
        </w:rPr>
        <w:t>In addition, the auditor of the Fund may not be changed unless the IRC has approved the change and Unitholders have received at least 60 days’ notice before the effective date of the change.</w:t>
      </w:r>
    </w:p>
    <w:p w14:paraId="6FC96DD4" w14:textId="3E111ED1" w:rsidR="00FF7AC6" w:rsidRPr="00F33FCD" w:rsidRDefault="00FF7AC6" w:rsidP="00FF7AC6">
      <w:pPr>
        <w:pStyle w:val="BodyText"/>
        <w:rPr>
          <w:rFonts w:ascii="Arial" w:hAnsi="Arial" w:cs="Arial"/>
        </w:rPr>
      </w:pPr>
      <w:r w:rsidRPr="00F33FCD">
        <w:rPr>
          <w:rFonts w:ascii="Arial" w:hAnsi="Arial" w:cs="Arial"/>
        </w:rPr>
        <w:t>The Declaration may be amended without the consent of or prior notice to Unitholders for the purposes of continuing compliance with applicable law and requirements of any governmental authorities having jurisdiction over the Fund; maintaining the status of the Fund under the Tax Act as a “unit trust” and/or “mutual fund trust”; making amendments or adjustments in response to any existing or proposed amendments to the Tax Act or its administration which might otherwise adversely affect the tax status of the Fund or its Unitholders; providing that the Fund will not be taxable on any of its income for a fiscal year under Part I of the Tax Act; correcting ambiguities, defective or inconsistent provisions, clerical omissions, mistakes or manifest errors; establishing one or more new funds; changing the name of the Fund or any new fund; creating additional classes or series of Units and redesignating existing classes or series of Units, unless the rights attaching to such Units are adversely changed or affected thereby; or providing additional protection to Unitholders.</w:t>
      </w:r>
    </w:p>
    <w:p w14:paraId="0EE9BF70" w14:textId="2CED5AB1" w:rsidR="00C10036" w:rsidRPr="00F33FCD" w:rsidRDefault="00C10036" w:rsidP="00FB000E">
      <w:pPr>
        <w:rPr>
          <w:b/>
          <w:bCs/>
        </w:rPr>
      </w:pPr>
      <w:bookmarkStart w:id="129" w:name="_Toc5968888"/>
      <w:r w:rsidRPr="00F33FCD">
        <w:rPr>
          <w:b/>
          <w:bCs/>
        </w:rPr>
        <w:t>Name</w:t>
      </w:r>
      <w:r w:rsidR="00EF1515" w:rsidRPr="00F33FCD">
        <w:rPr>
          <w:b/>
          <w:bCs/>
        </w:rPr>
        <w:t xml:space="preserve">, Formation </w:t>
      </w:r>
      <w:r w:rsidR="00E3159A">
        <w:rPr>
          <w:b/>
          <w:bCs/>
        </w:rPr>
        <w:t>and</w:t>
      </w:r>
      <w:r w:rsidR="00EF1515" w:rsidRPr="00F33FCD">
        <w:rPr>
          <w:b/>
          <w:bCs/>
        </w:rPr>
        <w:t xml:space="preserve"> History </w:t>
      </w:r>
      <w:r w:rsidR="00E3159A">
        <w:rPr>
          <w:b/>
          <w:bCs/>
        </w:rPr>
        <w:t>of the</w:t>
      </w:r>
      <w:r w:rsidR="00EF1515" w:rsidRPr="00F33FCD">
        <w:rPr>
          <w:b/>
          <w:bCs/>
        </w:rPr>
        <w:t xml:space="preserve"> </w:t>
      </w:r>
      <w:r w:rsidRPr="00F33FCD">
        <w:rPr>
          <w:b/>
          <w:bCs/>
        </w:rPr>
        <w:t>Fund</w:t>
      </w:r>
      <w:bookmarkEnd w:id="129"/>
    </w:p>
    <w:p w14:paraId="3861DF3D" w14:textId="77777777" w:rsidR="00C10036" w:rsidRPr="00F33FCD" w:rsidRDefault="00C10036" w:rsidP="00C10036">
      <w:pPr>
        <w:pStyle w:val="BodyText"/>
        <w:rPr>
          <w:rFonts w:ascii="Arial" w:hAnsi="Arial" w:cs="Arial"/>
        </w:rPr>
      </w:pPr>
      <w:r w:rsidRPr="00F33FCD">
        <w:rPr>
          <w:rFonts w:ascii="Arial" w:hAnsi="Arial" w:cs="Arial"/>
        </w:rPr>
        <w:t>The Fund is a trust established under the laws of Ontario on April 15, 2019 by a declaration of trust (the “</w:t>
      </w:r>
      <w:r w:rsidRPr="00F33FCD">
        <w:rPr>
          <w:rFonts w:ascii="Arial" w:hAnsi="Arial" w:cs="Arial"/>
          <w:b/>
        </w:rPr>
        <w:t>Declaration</w:t>
      </w:r>
      <w:r w:rsidRPr="00F33FCD">
        <w:rPr>
          <w:rFonts w:ascii="Arial" w:hAnsi="Arial" w:cs="Arial"/>
        </w:rPr>
        <w:t xml:space="preserve">”) as amended on April 30, 2021 to, among other things, reflect the addition of Series A Units made by </w:t>
      </w:r>
      <w:proofErr w:type="spellStart"/>
      <w:r w:rsidRPr="00F33FCD">
        <w:rPr>
          <w:rFonts w:ascii="Arial" w:hAnsi="Arial" w:cs="Arial"/>
        </w:rPr>
        <w:t>Barrantagh</w:t>
      </w:r>
      <w:proofErr w:type="spellEnd"/>
      <w:r w:rsidRPr="00F33FCD">
        <w:rPr>
          <w:rFonts w:ascii="Arial" w:hAnsi="Arial" w:cs="Arial"/>
        </w:rPr>
        <w:t xml:space="preserve"> as trustee.  The principal office of the Fund is located at the offices of </w:t>
      </w:r>
      <w:proofErr w:type="spellStart"/>
      <w:r w:rsidRPr="00F33FCD">
        <w:rPr>
          <w:rFonts w:ascii="Arial" w:hAnsi="Arial" w:cs="Arial"/>
        </w:rPr>
        <w:t>Barrantagh</w:t>
      </w:r>
      <w:proofErr w:type="spellEnd"/>
      <w:r w:rsidRPr="00F33FCD">
        <w:rPr>
          <w:rFonts w:ascii="Arial" w:hAnsi="Arial" w:cs="Arial"/>
        </w:rPr>
        <w:t>, 100 Yonge Street, Suite 1700, Toronto, Ontario M5C 2W1.</w:t>
      </w:r>
    </w:p>
    <w:p w14:paraId="79E63D5A" w14:textId="65C4A6F3" w:rsidR="00C10036" w:rsidRPr="00184289" w:rsidRDefault="00C10036" w:rsidP="00D5533B">
      <w:pPr>
        <w:pStyle w:val="BodyText"/>
        <w:rPr>
          <w:rFonts w:ascii="Arial" w:hAnsi="Arial" w:cs="Arial"/>
        </w:rPr>
      </w:pPr>
      <w:r w:rsidRPr="00F33FCD">
        <w:rPr>
          <w:rFonts w:ascii="Arial" w:hAnsi="Arial" w:cs="Arial"/>
        </w:rPr>
        <w:t xml:space="preserve">The Fund’s investment objective is to outperform the S&amp;P/TSX Small Cap Canadian equity index over market cycles.  The Fund primarily invests in common shares within the small cap area of </w:t>
      </w:r>
      <w:r w:rsidRPr="00184289">
        <w:rPr>
          <w:rFonts w:ascii="Arial" w:hAnsi="Arial" w:cs="Arial"/>
        </w:rPr>
        <w:t xml:space="preserve">the Canadian market.  </w:t>
      </w:r>
    </w:p>
    <w:p w14:paraId="4C697B82" w14:textId="77777777" w:rsidR="00D5533B" w:rsidRPr="00184289" w:rsidRDefault="00D5533B" w:rsidP="00FB000E">
      <w:pPr>
        <w:rPr>
          <w:b/>
          <w:bCs/>
        </w:rPr>
      </w:pPr>
      <w:bookmarkStart w:id="130" w:name="_Toc531895556"/>
      <w:bookmarkStart w:id="131" w:name="_Toc531895634"/>
      <w:bookmarkStart w:id="132" w:name="_Toc531896295"/>
      <w:r w:rsidRPr="00184289">
        <w:rPr>
          <w:b/>
          <w:bCs/>
        </w:rPr>
        <w:t>What are the Risks of Investing in the Fund?</w:t>
      </w:r>
      <w:bookmarkEnd w:id="130"/>
      <w:bookmarkEnd w:id="131"/>
      <w:bookmarkEnd w:id="132"/>
    </w:p>
    <w:p w14:paraId="05B40977" w14:textId="77777777" w:rsidR="00D5533B" w:rsidRPr="00184289" w:rsidRDefault="00D5533B" w:rsidP="00D5533B">
      <w:pPr>
        <w:pStyle w:val="BodyText"/>
      </w:pPr>
      <w:r w:rsidRPr="00184289">
        <w:t>In addition to the general risks of investing in any mutual fund disclosed above, the following are certain specific investment risks relating to the Fund.</w:t>
      </w:r>
    </w:p>
    <w:p w14:paraId="66DBC889" w14:textId="77777777" w:rsidR="00D5533B" w:rsidRPr="00184289" w:rsidRDefault="00D5533B" w:rsidP="00FB000E">
      <w:pPr>
        <w:rPr>
          <w:b/>
          <w:bCs/>
        </w:rPr>
      </w:pPr>
      <w:bookmarkStart w:id="133" w:name="_Toc531895557"/>
      <w:bookmarkStart w:id="134" w:name="_Toc531895635"/>
      <w:bookmarkStart w:id="135" w:name="_Toc531896296"/>
      <w:r w:rsidRPr="00184289">
        <w:rPr>
          <w:b/>
          <w:bCs/>
        </w:rPr>
        <w:lastRenderedPageBreak/>
        <w:t>Additional Risks Applicable to the Fund</w:t>
      </w:r>
      <w:bookmarkEnd w:id="133"/>
      <w:bookmarkEnd w:id="134"/>
      <w:bookmarkEnd w:id="135"/>
    </w:p>
    <w:p w14:paraId="18A9135A" w14:textId="77777777" w:rsidR="00D5533B" w:rsidRPr="00040130" w:rsidRDefault="00D5533B" w:rsidP="00D5533B">
      <w:pPr>
        <w:pStyle w:val="BodyText"/>
      </w:pPr>
      <w:r w:rsidRPr="00040130">
        <w:rPr>
          <w:i/>
        </w:rPr>
        <w:t>Market Risk</w:t>
      </w:r>
      <w:r w:rsidRPr="00040130">
        <w:t>:  Market risk is the risk of being invested in the equity markets.  The market value of the Fund’s investments will rise and fall based on specific company developments and broader equity or fixed income market conditions.  Market value will also vary with changes in the general economic and financial conditions in countries where the investments are based.</w:t>
      </w:r>
    </w:p>
    <w:p w14:paraId="29582688" w14:textId="652E4E1E" w:rsidR="00D5533B" w:rsidRPr="00533C62" w:rsidRDefault="00D5533B" w:rsidP="00D5533B">
      <w:pPr>
        <w:pStyle w:val="BodyText"/>
      </w:pPr>
      <w:r w:rsidRPr="00040130">
        <w:rPr>
          <w:i/>
        </w:rPr>
        <w:t>Market Disruptions Risk:</w:t>
      </w:r>
      <w:r w:rsidRPr="00040130">
        <w:rPr>
          <w:iCs/>
        </w:rPr>
        <w:t xml:space="preserve">  </w:t>
      </w:r>
      <w:r w:rsidRPr="00040130">
        <w:t>War and occupation, terrorism and related geopolitical risks may in the future lead to increased short-term market volatility and may have adverse long-term effects on world economies and markets generally, including U.S., Canadian</w:t>
      </w:r>
      <w:r w:rsidR="002F481C" w:rsidRPr="00040130">
        <w:t xml:space="preserve">, </w:t>
      </w:r>
      <w:proofErr w:type="gramStart"/>
      <w:r w:rsidR="002F481C" w:rsidRPr="00040130">
        <w:t>European</w:t>
      </w:r>
      <w:proofErr w:type="gramEnd"/>
      <w:r w:rsidRPr="00040130">
        <w:t xml:space="preserve"> and other economies and securities markets. </w:t>
      </w:r>
      <w:r w:rsidR="002F481C" w:rsidRPr="00040130">
        <w:t>For example, the</w:t>
      </w:r>
      <w:r w:rsidRPr="00040130">
        <w:t xml:space="preserve"> spread of coronavirus disease (COVID-19)</w:t>
      </w:r>
      <w:r w:rsidR="00184289" w:rsidRPr="00040130">
        <w:t xml:space="preserve"> </w:t>
      </w:r>
      <w:r w:rsidR="002F481C" w:rsidRPr="00040130">
        <w:t>caused a</w:t>
      </w:r>
      <w:r w:rsidRPr="00040130">
        <w:t xml:space="preserve"> slowdown in the global economy and volatility in global financial markets. </w:t>
      </w:r>
      <w:r w:rsidR="002F481C" w:rsidRPr="00040130">
        <w:t>COVID-19</w:t>
      </w:r>
      <w:r w:rsidRPr="00040130">
        <w:t xml:space="preserve"> or any other disease outbreak may adversely affect the performance of the Fund. The effects of future terrorist acts (</w:t>
      </w:r>
      <w:r w:rsidRPr="00533C62">
        <w:t>or threats thereof), military action</w:t>
      </w:r>
      <w:r w:rsidR="002F481C" w:rsidRPr="00533C62">
        <w:t>, war, conflict</w:t>
      </w:r>
      <w:r w:rsidRPr="00533C62">
        <w:t xml:space="preserve"> or similar unexpected disruptive events on the economies and securities markets of countries cannot be predicted. These events could also have an acute effect on individual issuers or related groups of issuers. These risks could also adversely affect securities markets, inflation and other factors relating to value of the portfolio of the Fund.</w:t>
      </w:r>
    </w:p>
    <w:p w14:paraId="35CB0A25" w14:textId="77777777" w:rsidR="00D5533B" w:rsidRPr="00533C62" w:rsidRDefault="00D5533B" w:rsidP="00D5533B">
      <w:pPr>
        <w:pStyle w:val="BodyText"/>
        <w:rPr>
          <w:b/>
          <w:bCs/>
        </w:rPr>
      </w:pPr>
      <w:r w:rsidRPr="00533C62">
        <w:t>Upon the occurrence of a natural disaster such as flood, hurricane, or earthquake, or upon an incident of war, riot or civil unrest or disease outbreak, the impacted country may not efficiently and quickly recover from such event, which could have a materially adverse effect on borrowers and other developing economic enterprises in such country.</w:t>
      </w:r>
    </w:p>
    <w:p w14:paraId="49510602" w14:textId="77777777" w:rsidR="00D5533B" w:rsidRPr="00533C62" w:rsidRDefault="00D5533B" w:rsidP="00D5533B">
      <w:pPr>
        <w:pStyle w:val="BodyText"/>
      </w:pPr>
      <w:r w:rsidRPr="00533C62">
        <w:rPr>
          <w:i/>
        </w:rPr>
        <w:t>No Assurance of Achieving Investment Objectives</w:t>
      </w:r>
      <w:r w:rsidRPr="00533C62">
        <w:t>:  There can be no assurances that the Fund will be able to achieve its investment objectives.  Changes in the Canadian equity markets may have a negative effect on the shares and other securities the Fund has invested in, which in turn affect the Fund’s value and may prevent the Fund from realizing its objectives.</w:t>
      </w:r>
    </w:p>
    <w:p w14:paraId="44604907" w14:textId="77777777" w:rsidR="00D5533B" w:rsidRPr="008A1D47" w:rsidRDefault="00D5533B" w:rsidP="00D5533B">
      <w:pPr>
        <w:pStyle w:val="BodyText"/>
      </w:pPr>
      <w:r w:rsidRPr="00533C62">
        <w:rPr>
          <w:i/>
        </w:rPr>
        <w:t>Small Company Risk</w:t>
      </w:r>
      <w:r w:rsidRPr="008A1D47">
        <w:t>:  The Fund will generally invest in the equity securities of small sized companies.  Investments in small capitalization companies may be more volatile than investments in larger companies, as they generally experience higher growth and higher failure rates.  The trading volume of these securities is normally lower than that of larger companies.  Such securities may be less liquid than other securities, which may make it more difficult to buy or sell such securities at a particular time or at a particular price.  Changes in the demand for these securities generally have a disproportionate effect on market price of such securities, tending to make the prices for such securities rise more in response to an increase in interest and to fall more in response to a lack of interest in such securities.  There can be no assurance that the use of such securities will result in any gains for the Fund.</w:t>
      </w:r>
    </w:p>
    <w:p w14:paraId="3CDE6444" w14:textId="4F3FB310" w:rsidR="00D5533B" w:rsidRPr="008A1D47" w:rsidRDefault="00D5533B" w:rsidP="00D5533B">
      <w:pPr>
        <w:pStyle w:val="BodyText"/>
      </w:pPr>
      <w:r w:rsidRPr="008A1D47">
        <w:rPr>
          <w:i/>
        </w:rPr>
        <w:t>Multiple series Risk</w:t>
      </w:r>
      <w:r w:rsidRPr="008A1D47">
        <w:t>: The Fund currently offers t</w:t>
      </w:r>
      <w:r w:rsidR="005013CD" w:rsidRPr="008A1D47">
        <w:t>hree</w:t>
      </w:r>
      <w:r w:rsidRPr="008A1D47">
        <w:t xml:space="preserve"> series of units.  The Fund may in the future offer additional classes or series of units.  Each class or series has its own fees and expenses, which are tracked separately.  Those fees and expenses will be deducted in calculating the NAV per unit for that class or series, thereby reducing the NAV per unit.  If one series or class is unable to pay its expenses or liabilities, the Fund is legally responsible to pay those expenses and, as a result, the NAV per unit of the other class or series may also be reduced.  </w:t>
      </w:r>
    </w:p>
    <w:p w14:paraId="3AB94C8F" w14:textId="0BEE8068" w:rsidR="00D5533B" w:rsidRPr="008A1D47" w:rsidRDefault="00D5533B" w:rsidP="00D5533B">
      <w:pPr>
        <w:pStyle w:val="BodyText"/>
      </w:pPr>
      <w:r w:rsidRPr="008A1D47">
        <w:rPr>
          <w:i/>
        </w:rPr>
        <w:t>Securities Lending</w:t>
      </w:r>
      <w:r w:rsidRPr="008A1D47">
        <w:t>:  The Fund may engage in securities lending.  Although the Fund will receive collateral if it lends securities and such collateral will be marked-to-market, the Fund will be exposed to the risk of loss should the borrower default on its obligation to return the borrowed securities and/or if the collateral is insufficient to reconstitute the portfolio of loaned securities.</w:t>
      </w:r>
    </w:p>
    <w:p w14:paraId="07EFC874" w14:textId="338CBD01" w:rsidR="009B56EA" w:rsidRPr="008A1D47" w:rsidRDefault="009B56EA" w:rsidP="009B56EA">
      <w:pPr>
        <w:pStyle w:val="BodyTextFirstIndent"/>
        <w:ind w:firstLine="0"/>
      </w:pPr>
      <w:r w:rsidRPr="008A1D47">
        <w:rPr>
          <w:i/>
          <w:iCs/>
        </w:rPr>
        <w:lastRenderedPageBreak/>
        <w:t xml:space="preserve">Tax Risk:  </w:t>
      </w:r>
      <w:r w:rsidRPr="008A1D47">
        <w:t xml:space="preserve">If the Fund ceases to qualify as a mutual fund trust under the </w:t>
      </w:r>
      <w:r w:rsidRPr="0056213F">
        <w:t>Tax Act</w:t>
      </w:r>
      <w:r w:rsidRPr="008A1D47">
        <w:t>, the income tax considerations described under “</w:t>
      </w:r>
      <w:r w:rsidRPr="008A1D47">
        <w:rPr>
          <w:i/>
        </w:rPr>
        <w:t>Income Tax Considerations</w:t>
      </w:r>
      <w:r w:rsidRPr="008A1D47">
        <w:t xml:space="preserve">” would be materially and adversely different in certain respects. There can be no assurance that Canadian federal income tax laws and the administrative policies and assessing practices of the </w:t>
      </w:r>
      <w:r w:rsidRPr="0052299F">
        <w:rPr>
          <w:bCs/>
        </w:rPr>
        <w:t>CRA</w:t>
      </w:r>
      <w:r w:rsidRPr="008A1D47">
        <w:t xml:space="preserve"> respecting the treatment of mutual fund trusts will not be changed in a manner which adversely affects </w:t>
      </w:r>
      <w:r w:rsidR="00586AF8">
        <w:t>Unitholders of the Fund.</w:t>
      </w:r>
    </w:p>
    <w:p w14:paraId="14E9D200" w14:textId="5BAF4FCE" w:rsidR="009B56EA" w:rsidRPr="008A1D47" w:rsidRDefault="009B56EA" w:rsidP="009B56EA">
      <w:pPr>
        <w:pStyle w:val="BodyTextFirstIndent"/>
        <w:ind w:firstLine="0"/>
        <w:rPr>
          <w:b/>
          <w:lang w:val="en-US"/>
        </w:rPr>
      </w:pPr>
      <w:r w:rsidRPr="008A1D47">
        <w:rPr>
          <w:lang w:val="en-US"/>
        </w:rPr>
        <w:t xml:space="preserve">In determining its income for tax purposes, the Fund treats gains or losses on the disposition of securities in the portfolio of the Fund as capital gains and losses. Designations with respect to the Fund’s income and capital gains will be made and reported to </w:t>
      </w:r>
      <w:r w:rsidR="00905CCE" w:rsidRPr="008A1D47">
        <w:rPr>
          <w:lang w:val="en-US"/>
        </w:rPr>
        <w:t>Unitholders</w:t>
      </w:r>
      <w:r w:rsidRPr="008A1D47">
        <w:rPr>
          <w:lang w:val="en-US"/>
        </w:rPr>
        <w:t xml:space="preserve"> of the Fund on the foregoing basis. The CRA’s practice is not to grant advance income tax rulings on the characterization of items as capital gains or income and no advance income tax ruling has been requested or obtained. If these dispositions or transactions of the Fund are determined not to be on capital account, the net income of the Fund for tax purposes and the taxable component of distributions to </w:t>
      </w:r>
      <w:r w:rsidR="00905CCE" w:rsidRPr="008A1D47">
        <w:rPr>
          <w:lang w:val="en-US"/>
        </w:rPr>
        <w:t>Unitholders</w:t>
      </w:r>
      <w:r w:rsidRPr="008A1D47">
        <w:rPr>
          <w:lang w:val="en-US"/>
        </w:rPr>
        <w:t xml:space="preserve"> of the Fund could increase.  Any such redetermination by the CRA may result in </w:t>
      </w:r>
      <w:r w:rsidR="00CF4796">
        <w:rPr>
          <w:lang w:val="en-US"/>
        </w:rPr>
        <w:t>the</w:t>
      </w:r>
      <w:r w:rsidRPr="008A1D47">
        <w:rPr>
          <w:lang w:val="en-US"/>
        </w:rPr>
        <w:t xml:space="preserve"> Fund being liable for unremitted withholding taxes on prior distributions made to </w:t>
      </w:r>
      <w:r w:rsidR="00114FE4" w:rsidRPr="008A1D47">
        <w:rPr>
          <w:lang w:val="en-US"/>
        </w:rPr>
        <w:t>Unitholders</w:t>
      </w:r>
      <w:r w:rsidRPr="008A1D47">
        <w:rPr>
          <w:lang w:val="en-US"/>
        </w:rPr>
        <w:t xml:space="preserve"> who were not resident in Canada for purposes of the Tax Act at the time of the distribution.  Such potential liability may reduce the net asset value of </w:t>
      </w:r>
      <w:r w:rsidR="00CF4796">
        <w:rPr>
          <w:lang w:val="en-US"/>
        </w:rPr>
        <w:t xml:space="preserve">the </w:t>
      </w:r>
      <w:r w:rsidRPr="008A1D47">
        <w:rPr>
          <w:lang w:val="en-US"/>
        </w:rPr>
        <w:t xml:space="preserve">Fund and/or net asset value per </w:t>
      </w:r>
      <w:r w:rsidR="004A14E1">
        <w:rPr>
          <w:lang w:val="en-US"/>
        </w:rPr>
        <w:t>U</w:t>
      </w:r>
      <w:r w:rsidRPr="008A1D47">
        <w:rPr>
          <w:lang w:val="en-US"/>
        </w:rPr>
        <w:t xml:space="preserve">nit. </w:t>
      </w:r>
    </w:p>
    <w:p w14:paraId="692A04E4" w14:textId="77777777" w:rsidR="009B56EA" w:rsidRPr="008A1D47" w:rsidRDefault="009B56EA" w:rsidP="009B56EA">
      <w:pPr>
        <w:pStyle w:val="BodyText"/>
        <w:rPr>
          <w:b/>
        </w:rPr>
      </w:pPr>
      <w:r w:rsidRPr="008A1D47">
        <w:t>The Fund may invest in foreign securities. Many foreign countries preserve their right under domestic tax laws and applicable tax conventions with respect to taxes on income and on capital (“</w:t>
      </w:r>
      <w:r w:rsidRPr="008A1D47">
        <w:rPr>
          <w:b/>
          <w:bCs/>
        </w:rPr>
        <w:t>Tax Treaties</w:t>
      </w:r>
      <w:r w:rsidRPr="008A1D47">
        <w:t>”) to impose tax on dividends and interest paid or credited to persons who are not resident in such countries. While the Fund intends to make its investments in such a manner as to mitigate the amount of foreign taxes incurred under foreign tax laws and subject to any applicable Tax Treaties, investments in selected foreign securities may subject the Fund to foreign taxes on dividends and interest paid or credited to the Fund or any gains realized on the disposition of such securities</w:t>
      </w:r>
      <w:r w:rsidRPr="008A1D47">
        <w:rPr>
          <w:b/>
          <w:bCs/>
        </w:rPr>
        <w:t xml:space="preserve">. </w:t>
      </w:r>
    </w:p>
    <w:p w14:paraId="0C0A9631" w14:textId="06FD516A" w:rsidR="009B56EA" w:rsidRPr="005E19F2" w:rsidRDefault="009B56EA" w:rsidP="009B56EA">
      <w:r w:rsidRPr="008A1D47">
        <w:t xml:space="preserve">Pursuant to rules in the Tax Act, if the Fund experiences a “loss restriction event”, it will (i) be deemed to have a year-end for tax purposes (which would result in an unscheduled distribution of the Fund’s net income and net realized capital gains, if any, at such time to </w:t>
      </w:r>
      <w:r w:rsidR="00114FE4" w:rsidRPr="008A1D47">
        <w:t>Unitholders</w:t>
      </w:r>
      <w:r w:rsidRPr="008A1D47">
        <w:t xml:space="preserve"> so that the Fund is not liable for income tax on such amounts under Part I of the Tax Act), and (ii) become subject to the loss restriction rules generally applicable to a corporation that experiences an acquisition of control, including a deemed realization of any unrealized capital losses and restrictions on its ability to carry forward losses. Generally, the Fund will be subject to a loss restriction event if a person becomes a “majority-interest beneficiary”, or a group of persons becomes a “majority-interest group of beneficiaries”, of the Fund, as those terms are defined in the affiliated persons rules contained in the Tax Act, with certain modifications. Generally, a majority-interest beneficiary of the Fund is a beneficiary in the income or capital</w:t>
      </w:r>
      <w:proofErr w:type="gramStart"/>
      <w:r w:rsidRPr="008A1D47">
        <w:t>, as the case may be, of</w:t>
      </w:r>
      <w:proofErr w:type="gramEnd"/>
      <w:r w:rsidRPr="008A1D47">
        <w:t xml:space="preserve"> the Fund </w:t>
      </w:r>
      <w:r w:rsidRPr="005E19F2">
        <w:t>whose beneficial interests, together with the beneficial interests of persons and partnerships with whom the beneficiary is affiliated, have a fair market value that is greater than 50% of the fair market value of all the interests in the income or capital, as the case may be, of the Fund.  Please see “</w:t>
      </w:r>
      <w:r w:rsidRPr="005E19F2">
        <w:rPr>
          <w:i/>
        </w:rPr>
        <w:t>Income Tax Considerations</w:t>
      </w:r>
      <w:r w:rsidRPr="005E19F2">
        <w:t xml:space="preserve">” for the tax consequences of an unscheduled or other distribution to </w:t>
      </w:r>
      <w:r w:rsidR="00114FE4" w:rsidRPr="005E19F2">
        <w:t>Unitholders</w:t>
      </w:r>
      <w:r w:rsidRPr="005E19F2">
        <w:t>.</w:t>
      </w:r>
    </w:p>
    <w:p w14:paraId="57C0C2D0" w14:textId="780C5D0C" w:rsidR="009B56EA" w:rsidRPr="005E19F2" w:rsidRDefault="009B56EA" w:rsidP="00D5533B">
      <w:pPr>
        <w:pStyle w:val="BodyText"/>
      </w:pPr>
      <w:r w:rsidRPr="005E19F2">
        <w:t xml:space="preserve">Trusts that qualify as “investment funds” as defined in the rules in the Tax Act relating to loss restriction events are generally excepted from the application of such rules.  An “investment fund” for this purpose includes a trust that meets certain conditions, including satisfying certain of the conditions necessary to qualify as a “mutual fund trust” for purposes of the Tax Act, not using any property </w:t>
      </w:r>
      <w:proofErr w:type="gramStart"/>
      <w:r w:rsidRPr="005E19F2">
        <w:t>in the course of</w:t>
      </w:r>
      <w:proofErr w:type="gramEnd"/>
      <w:r w:rsidRPr="005E19F2">
        <w:t xml:space="preserve"> carrying on a business and complying with certain asset diversification </w:t>
      </w:r>
      <w:r w:rsidRPr="005E19F2">
        <w:lastRenderedPageBreak/>
        <w:t xml:space="preserve">requirements. If the Fund were not to qualify as an “investment fund”, it could potentially have a loss restriction event and thereby become subject to the related tax consequences described above. </w:t>
      </w:r>
    </w:p>
    <w:p w14:paraId="71BAEB34" w14:textId="40C5D0BE" w:rsidR="00D5533B" w:rsidRPr="005E19F2" w:rsidRDefault="00D5533B" w:rsidP="00B554FD">
      <w:pPr>
        <w:rPr>
          <w:b/>
          <w:bCs/>
        </w:rPr>
      </w:pPr>
      <w:bookmarkStart w:id="136" w:name="_Toc531895558"/>
      <w:bookmarkStart w:id="137" w:name="_Toc531895636"/>
      <w:bookmarkStart w:id="138" w:name="_Toc531896297"/>
      <w:r w:rsidRPr="005E19F2">
        <w:rPr>
          <w:b/>
          <w:bCs/>
        </w:rPr>
        <w:t>Investment Risk Classification Methodology</w:t>
      </w:r>
      <w:bookmarkEnd w:id="136"/>
      <w:bookmarkEnd w:id="137"/>
      <w:bookmarkEnd w:id="138"/>
    </w:p>
    <w:p w14:paraId="2ADE2141" w14:textId="77777777" w:rsidR="00D5533B" w:rsidRPr="005E19F2" w:rsidRDefault="00D5533B" w:rsidP="00D5533B">
      <w:pPr>
        <w:pStyle w:val="BodyText"/>
      </w:pPr>
      <w:r w:rsidRPr="005E19F2">
        <w:t>We assign a risk rating to the Fund as a guide to help you decide whether to invest in the Fund.  The investment risk level of the Fund is required to be determined in accordance with a standardized risk classification methodology that is based on the Fund’s historical volatility as measured by the 10-year standard deviation of the returns of the Fund.</w:t>
      </w:r>
    </w:p>
    <w:p w14:paraId="26AE7BBA" w14:textId="4B77D9CC" w:rsidR="00D5533B" w:rsidRPr="00DF533C" w:rsidRDefault="00D5533B" w:rsidP="00D5533B">
      <w:pPr>
        <w:pStyle w:val="BodyText"/>
      </w:pPr>
      <w:r w:rsidRPr="005E19F2">
        <w:t xml:space="preserve">The Fund was created on April 15, 2019.  As the Fund has less than 10 years of performance history, we will use the actual performance of the Fund for the </w:t>
      </w:r>
      <w:proofErr w:type="gramStart"/>
      <w:r w:rsidRPr="005E19F2">
        <w:t>period of time</w:t>
      </w:r>
      <w:proofErr w:type="gramEnd"/>
      <w:r w:rsidRPr="005E19F2">
        <w:t xml:space="preserve"> it has been in existence and the return for an appropriate reference index or blend of reference indices for the remainder of the 10 year period.  The reference index we use to calculate the risk rating for the Fund is the S&amp;P/TSX </w:t>
      </w:r>
      <w:r w:rsidRPr="00DF533C">
        <w:t>Small Cap Canadian equity index. As the Fund is new, the current investment risk level of the Fund is based on the reference index.</w:t>
      </w:r>
    </w:p>
    <w:p w14:paraId="0ECD627E" w14:textId="77777777" w:rsidR="00D5533B" w:rsidRPr="00DF533C" w:rsidRDefault="00D5533B" w:rsidP="00D5533B">
      <w:pPr>
        <w:pStyle w:val="BodyText"/>
      </w:pPr>
      <w:r w:rsidRPr="00DF533C">
        <w:t>The standardized risk classification methodology that we use to identify the investment risk level of the Fund is available at no cost by calling us or writing to us at the telephone number and address set out on the last page of this simplified prospectus.</w:t>
      </w:r>
    </w:p>
    <w:p w14:paraId="78484008" w14:textId="77777777" w:rsidR="00D5533B" w:rsidRPr="00DF533C" w:rsidRDefault="00D5533B" w:rsidP="00FB000E">
      <w:pPr>
        <w:jc w:val="center"/>
        <w:rPr>
          <w:b/>
          <w:bCs/>
          <w:i/>
        </w:rPr>
      </w:pPr>
      <w:r w:rsidRPr="00DF533C">
        <w:rPr>
          <w:b/>
          <w:bCs/>
        </w:rPr>
        <w:t>Who Should Invest in this Fund?</w:t>
      </w:r>
    </w:p>
    <w:p w14:paraId="06CD5EF5" w14:textId="77777777" w:rsidR="00D5533B" w:rsidRPr="00F232E1" w:rsidRDefault="00D5533B" w:rsidP="00D5533B">
      <w:pPr>
        <w:pStyle w:val="BodyText"/>
        <w:rPr>
          <w:rFonts w:cs="Times New Roman"/>
        </w:rPr>
      </w:pPr>
      <w:r w:rsidRPr="00DF533C">
        <w:rPr>
          <w:rFonts w:cs="Times New Roman"/>
        </w:rPr>
        <w:t xml:space="preserve">The Fund is suitable for investors who want to be part of a fund which invests in a relatively concentrated portfolio of small capitalization Canadian companies with high growth potential and are comfortable with a high level of investment risk.  You will find an explanation of the risk classification we use under </w:t>
      </w:r>
      <w:r w:rsidRPr="00F232E1">
        <w:rPr>
          <w:rFonts w:cs="Times New Roman"/>
        </w:rPr>
        <w:t>“</w:t>
      </w:r>
      <w:r w:rsidRPr="00F232E1">
        <w:rPr>
          <w:rFonts w:cs="Times New Roman"/>
          <w:i/>
        </w:rPr>
        <w:t>What are the Risks of Investing in the Fund – Investment Risk Classification Methodology</w:t>
      </w:r>
      <w:r w:rsidRPr="00F232E1">
        <w:rPr>
          <w:rFonts w:cs="Times New Roman"/>
        </w:rPr>
        <w:t>” above.  The Fund may not be appropriate for an investor who needs regular income or stability of principal, or is pursuing a short-term investment goal.</w:t>
      </w:r>
    </w:p>
    <w:p w14:paraId="0FC08DC9" w14:textId="77777777" w:rsidR="00D5533B" w:rsidRPr="00F232E1" w:rsidRDefault="00D5533B" w:rsidP="00FB000E">
      <w:pPr>
        <w:jc w:val="center"/>
        <w:rPr>
          <w:b/>
          <w:bCs/>
        </w:rPr>
      </w:pPr>
      <w:bookmarkStart w:id="139" w:name="_Toc531895559"/>
      <w:bookmarkStart w:id="140" w:name="_Toc531895637"/>
      <w:bookmarkStart w:id="141" w:name="_Toc531896298"/>
      <w:r w:rsidRPr="00F232E1">
        <w:rPr>
          <w:b/>
          <w:bCs/>
        </w:rPr>
        <w:t>Distribution Policy</w:t>
      </w:r>
      <w:bookmarkEnd w:id="139"/>
      <w:bookmarkEnd w:id="140"/>
      <w:bookmarkEnd w:id="141"/>
    </w:p>
    <w:p w14:paraId="55DDAEBF" w14:textId="2524F8BE" w:rsidR="00B84464" w:rsidRPr="00F232E1" w:rsidRDefault="00D5533B" w:rsidP="00D5533B">
      <w:pPr>
        <w:pStyle w:val="BodyText"/>
      </w:pPr>
      <w:r w:rsidRPr="00F232E1">
        <w:t>The Fund will pay such distributions as we in our discretion may determine from time to time; provided that on an annual basis, the Fund will pay such distributions, if any, as are necessary to ensure that the Fund is not subject to non-refundable income tax under Part I of the Tax Act.  Distributions are automatically reinvested in additional units of the Fund, unless you have previously notified us in writing that you want to receive all or any portion of them in cash.</w:t>
      </w:r>
    </w:p>
    <w:p w14:paraId="2910D56E" w14:textId="77777777" w:rsidR="00D5533B" w:rsidRPr="00E64FFB" w:rsidRDefault="00D5533B" w:rsidP="00D5533B">
      <w:pPr>
        <w:pStyle w:val="BodyText"/>
        <w:rPr>
          <w:color w:val="FF0000"/>
        </w:rPr>
      </w:pPr>
    </w:p>
    <w:p w14:paraId="05D894C9" w14:textId="77777777" w:rsidR="00D5533B" w:rsidRPr="00E64FFB" w:rsidRDefault="00D5533B" w:rsidP="00D5533B">
      <w:pPr>
        <w:pStyle w:val="BodyText"/>
        <w:rPr>
          <w:color w:val="FF0000"/>
        </w:rPr>
        <w:sectPr w:rsidR="00D5533B" w:rsidRPr="00E64FFB" w:rsidSect="00800348">
          <w:footerReference w:type="default" r:id="rId31"/>
          <w:footerReference w:type="first" r:id="rId32"/>
          <w:pgSz w:w="12240" w:h="15840" w:code="1"/>
          <w:pgMar w:top="1440" w:right="1440" w:bottom="1440" w:left="1440" w:header="720" w:footer="720" w:gutter="0"/>
          <w:pgNumType w:start="1"/>
          <w:cols w:space="720"/>
          <w:titlePg/>
          <w:docGrid w:linePitch="360"/>
        </w:sectPr>
      </w:pPr>
    </w:p>
    <w:p w14:paraId="60D0A2DB" w14:textId="77777777" w:rsidR="00D5533B" w:rsidRPr="008E3248" w:rsidRDefault="00D5533B" w:rsidP="00B554FD">
      <w:pPr>
        <w:jc w:val="center"/>
        <w:rPr>
          <w:b/>
          <w:bCs/>
        </w:rPr>
      </w:pPr>
      <w:proofErr w:type="spellStart"/>
      <w:r w:rsidRPr="008E3248">
        <w:rPr>
          <w:b/>
          <w:bCs/>
        </w:rPr>
        <w:lastRenderedPageBreak/>
        <w:t>Barrantagh</w:t>
      </w:r>
      <w:proofErr w:type="spellEnd"/>
      <w:r w:rsidRPr="008E3248">
        <w:rPr>
          <w:b/>
          <w:bCs/>
        </w:rPr>
        <w:t xml:space="preserve"> Small Cap Canadian Equity Fund</w:t>
      </w:r>
    </w:p>
    <w:p w14:paraId="3F04A278" w14:textId="6BF8D2F3" w:rsidR="00D5533B" w:rsidRPr="008E3248" w:rsidRDefault="00D5533B" w:rsidP="00D5533B">
      <w:pPr>
        <w:pStyle w:val="BodyText"/>
      </w:pPr>
      <w:r w:rsidRPr="008E3248">
        <w:t>Additional information about the Fund is or will be available in the Fund’</w:t>
      </w:r>
      <w:r w:rsidR="001C3561" w:rsidRPr="008E3248">
        <w:t xml:space="preserve">s </w:t>
      </w:r>
      <w:r w:rsidRPr="008E3248">
        <w:t>Fund Facts, annual and interim management reports of fund performance and annual and interim financial statements.  These documents as they become available are incorporated by reference into this Simplified Prospectus, which means that they legally form part of this document just as if they were printed as part of this document.</w:t>
      </w:r>
    </w:p>
    <w:p w14:paraId="2FD9B98D" w14:textId="77777777" w:rsidR="00D5533B" w:rsidRPr="008E3248" w:rsidRDefault="00D5533B" w:rsidP="00D5533B">
      <w:pPr>
        <w:pStyle w:val="BodyText"/>
      </w:pPr>
      <w:r w:rsidRPr="008E3248">
        <w:t>You can get a copy of these documents, at your request and at no cost, by calling us toll-free at 1-833-246-8468, by writing to us at the address below or emailing us at info@barrantagh.com, or from your dealer.</w:t>
      </w:r>
    </w:p>
    <w:p w14:paraId="4EB01589" w14:textId="5241997E" w:rsidR="00D5533B" w:rsidRPr="008E3248" w:rsidRDefault="00D5533B" w:rsidP="00D5533B">
      <w:pPr>
        <w:pStyle w:val="BodyText"/>
        <w:spacing w:after="720"/>
      </w:pPr>
      <w:r w:rsidRPr="008E3248">
        <w:t>These documents and other information about the Fund are available at our website at</w:t>
      </w:r>
      <w:r w:rsidR="0082338F" w:rsidRPr="008E3248">
        <w:t xml:space="preserve"> </w:t>
      </w:r>
      <w:hyperlink r:id="rId33" w:history="1">
        <w:r w:rsidR="0082338F" w:rsidRPr="008E3248">
          <w:rPr>
            <w:rStyle w:val="Hyperlink"/>
            <w:color w:val="auto"/>
          </w:rPr>
          <w:t>www.Barrantagh.com</w:t>
        </w:r>
      </w:hyperlink>
      <w:r w:rsidRPr="008E3248">
        <w:t xml:space="preserve">, or through SEDAR (the System for Electronic Document Analysis and Retrieval) at </w:t>
      </w:r>
      <w:r w:rsidRPr="008E3248">
        <w:rPr>
          <w:u w:val="single"/>
        </w:rPr>
        <w:t>www.sedar.com</w:t>
      </w:r>
      <w:r w:rsidRPr="008E3248">
        <w:t>.</w:t>
      </w:r>
    </w:p>
    <w:p w14:paraId="54371544" w14:textId="77777777" w:rsidR="00D5533B" w:rsidRPr="008E3248" w:rsidRDefault="00D5533B" w:rsidP="00D5533B">
      <w:pPr>
        <w:pStyle w:val="BodyText"/>
        <w:spacing w:after="0"/>
        <w:jc w:val="center"/>
      </w:pPr>
      <w:proofErr w:type="spellStart"/>
      <w:r w:rsidRPr="008E3248">
        <w:t>Barrantagh</w:t>
      </w:r>
      <w:proofErr w:type="spellEnd"/>
      <w:r w:rsidRPr="008E3248">
        <w:t xml:space="preserve"> Investment Management Inc.</w:t>
      </w:r>
    </w:p>
    <w:p w14:paraId="6037AC24" w14:textId="77777777" w:rsidR="00D5533B" w:rsidRPr="008E3248" w:rsidRDefault="00D5533B" w:rsidP="00D5533B">
      <w:pPr>
        <w:pStyle w:val="BodyText"/>
        <w:spacing w:after="0"/>
        <w:jc w:val="center"/>
      </w:pPr>
      <w:r w:rsidRPr="008E3248">
        <w:t>100 Yonge Street, Suite 1700</w:t>
      </w:r>
    </w:p>
    <w:p w14:paraId="52D3C422" w14:textId="77777777" w:rsidR="00D5533B" w:rsidRPr="008E3248" w:rsidRDefault="00D5533B" w:rsidP="00D5533B">
      <w:pPr>
        <w:pStyle w:val="BodyText"/>
        <w:spacing w:after="0"/>
        <w:jc w:val="center"/>
      </w:pPr>
      <w:r w:rsidRPr="008E3248">
        <w:t>Toronto, Ontario M5C 2W1</w:t>
      </w:r>
    </w:p>
    <w:p w14:paraId="4761F35F" w14:textId="55615D8C" w:rsidR="00BF6E1F" w:rsidRPr="008E3248" w:rsidRDefault="00D5533B" w:rsidP="00BF6E1F">
      <w:pPr>
        <w:pStyle w:val="BodyText"/>
        <w:jc w:val="center"/>
      </w:pPr>
      <w:r w:rsidRPr="008E3248">
        <w:t>Telephone 416-868-6295</w:t>
      </w:r>
    </w:p>
    <w:p w14:paraId="373BAEF0" w14:textId="2EAC050D" w:rsidR="00D5533B" w:rsidRPr="00E64FFB" w:rsidRDefault="00D5533B" w:rsidP="00D5533B">
      <w:pPr>
        <w:pStyle w:val="BlakesDocID"/>
        <w:rPr>
          <w:color w:val="FF0000"/>
        </w:rPr>
      </w:pPr>
    </w:p>
    <w:p w14:paraId="259DE722" w14:textId="5E5C6546" w:rsidR="00196CC8" w:rsidRPr="00E64FFB" w:rsidRDefault="006F43C7" w:rsidP="008E2B42">
      <w:pPr>
        <w:pStyle w:val="BlakesDocID"/>
      </w:pPr>
      <w:fldSimple w:instr=" DOCPROPERTY DOCXDOCID DMS=HummingbirdDM5 Format=&lt;&lt;NUM&gt;&gt;.&lt;&lt;VER&gt;&gt; PRESERVELOCATION \* MERGEFORMAT ">
        <w:r w:rsidR="008E2B42" w:rsidRPr="008E2B42">
          <w:t>24658339.4</w:t>
        </w:r>
      </w:fldSimple>
    </w:p>
    <w:sectPr w:rsidR="00196CC8" w:rsidRPr="00E64FFB" w:rsidSect="0090757D">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7CCF" w14:textId="77777777" w:rsidR="0023133C" w:rsidRDefault="0023133C" w:rsidP="00A325C6">
      <w:pPr>
        <w:spacing w:after="0"/>
      </w:pPr>
      <w:r>
        <w:separator/>
      </w:r>
    </w:p>
  </w:endnote>
  <w:endnote w:type="continuationSeparator" w:id="0">
    <w:p w14:paraId="35FAF8BA" w14:textId="77777777" w:rsidR="0023133C" w:rsidRDefault="0023133C" w:rsidP="00A325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mo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CCB4" w14:textId="77777777" w:rsidR="00B55FCA" w:rsidRDefault="00B55FC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352360"/>
      <w:docPartObj>
        <w:docPartGallery w:val="Page Numbers (Bottom of Page)"/>
        <w:docPartUnique/>
      </w:docPartObj>
    </w:sdtPr>
    <w:sdtEndPr>
      <w:rPr>
        <w:noProof/>
      </w:rPr>
    </w:sdtEndPr>
    <w:sdtContent>
      <w:p w14:paraId="502D61FA" w14:textId="77777777" w:rsidR="00181D73" w:rsidRDefault="00181D73">
        <w:pPr>
          <w:pStyle w:val="Footer"/>
          <w:jc w:val="center"/>
        </w:pPr>
      </w:p>
      <w:sdt>
        <w:sdtPr>
          <w:id w:val="-457645633"/>
          <w:docPartObj>
            <w:docPartGallery w:val="Page Numbers (Bottom of Page)"/>
            <w:docPartUnique/>
          </w:docPartObj>
        </w:sdtPr>
        <w:sdtEndPr>
          <w:rPr>
            <w:noProof/>
          </w:rPr>
        </w:sdtEndPr>
        <w:sdtContent>
          <w:p w14:paraId="78149633" w14:textId="4D0DAB90" w:rsidR="00181D73" w:rsidRDefault="00181D73" w:rsidP="000306BB">
            <w:pPr>
              <w:pStyle w:val="Footer"/>
              <w:jc w:val="center"/>
              <w:rPr>
                <w:noProof/>
              </w:rPr>
            </w:pPr>
            <w:r>
              <w:t xml:space="preserve">- </w:t>
            </w:r>
            <w:r>
              <w:fldChar w:fldCharType="begin"/>
            </w:r>
            <w:r>
              <w:instrText xml:space="preserve"> PAGE   \* MERGEFORMAT </w:instrText>
            </w:r>
            <w:r>
              <w:fldChar w:fldCharType="separate"/>
            </w:r>
            <w:r>
              <w:t>1</w:t>
            </w:r>
            <w:r>
              <w:rPr>
                <w:noProof/>
              </w:rPr>
              <w:fldChar w:fldCharType="end"/>
            </w:r>
            <w:r>
              <w:rPr>
                <w:noProof/>
              </w:rPr>
              <w:t xml:space="preserve"> -</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51894"/>
      <w:docPartObj>
        <w:docPartGallery w:val="Page Numbers (Bottom of Page)"/>
        <w:docPartUnique/>
      </w:docPartObj>
    </w:sdtPr>
    <w:sdtEndPr>
      <w:rPr>
        <w:noProof/>
      </w:rPr>
    </w:sdtEndPr>
    <w:sdtContent>
      <w:p w14:paraId="1857D92D" w14:textId="77777777" w:rsidR="00800348" w:rsidRDefault="00800348" w:rsidP="0090757D">
        <w:pPr>
          <w:pStyle w:val="Foote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849A" w14:textId="77777777" w:rsidR="0023133C" w:rsidRPr="00196CC8" w:rsidRDefault="0023133C" w:rsidP="00196CC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268244"/>
      <w:docPartObj>
        <w:docPartGallery w:val="Page Numbers (Bottom of Page)"/>
        <w:docPartUnique/>
      </w:docPartObj>
    </w:sdtPr>
    <w:sdtEndPr>
      <w:rPr>
        <w:noProof/>
      </w:rPr>
    </w:sdtEndPr>
    <w:sdtContent>
      <w:p w14:paraId="7C2FD50F" w14:textId="77777777" w:rsidR="0023133C" w:rsidRDefault="0023133C" w:rsidP="0090757D">
        <w:pPr>
          <w:pStyle w:val="Footer"/>
          <w:jc w:val="center"/>
          <w:rPr>
            <w:noProof/>
          </w:rPr>
        </w:pPr>
        <w:r>
          <w:t xml:space="preserve">- </w:t>
        </w:r>
        <w:r>
          <w:fldChar w:fldCharType="begin"/>
        </w:r>
        <w:r>
          <w:instrText xml:space="preserve"> PAGE   \* MERGEFORMAT </w:instrText>
        </w:r>
        <w:r>
          <w:fldChar w:fldCharType="separate"/>
        </w:r>
        <w:r w:rsidR="00C42552">
          <w:rPr>
            <w:noProof/>
          </w:rPr>
          <w:t>5</w:t>
        </w:r>
        <w:r>
          <w:rPr>
            <w:noProof/>
          </w:rPr>
          <w:fldChar w:fldCharType="end"/>
        </w:r>
        <w:r>
          <w:rPr>
            <w:noProof/>
          </w:rPr>
          <w:t xml:space="preserve">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sz w:val="22"/>
      </w:rPr>
      <w:id w:val="-1082754030"/>
      <w:docPartObj>
        <w:docPartGallery w:val="Page Numbers (Bottom of Page)"/>
        <w:docPartUnique/>
      </w:docPartObj>
    </w:sdtPr>
    <w:sdtEndPr/>
    <w:sdtContent>
      <w:p w14:paraId="30BD98C3" w14:textId="39B3FBD0" w:rsidR="002520AA" w:rsidRPr="00D5533B" w:rsidRDefault="006F43C7" w:rsidP="002520AA">
        <w:pPr>
          <w:pStyle w:val="BlakesDocID"/>
        </w:pPr>
        <w:fldSimple w:instr=" DOCPROPERTY DOCXDOCID DMS=HummingbirdDM5 Format=&lt;&lt;NUM&gt;&gt;.&lt;&lt;VER&gt;&gt; PRESERVELOCATION \* MERGEFORMAT ">
          <w:r w:rsidR="008E2B42">
            <w:t>24658339.4</w:t>
          </w:r>
        </w:fldSimple>
      </w:p>
      <w:p w14:paraId="0F96B293" w14:textId="749A4DBF" w:rsidR="0023133C" w:rsidRDefault="0023133C" w:rsidP="0090757D">
        <w:pPr>
          <w:pStyle w:val="Footer"/>
          <w:jc w:val="center"/>
        </w:pPr>
        <w:r>
          <w:t xml:space="preserve">- </w:t>
        </w:r>
        <w:r>
          <w:fldChar w:fldCharType="begin"/>
        </w:r>
        <w:r>
          <w:instrText xml:space="preserve"> PAGE   \* MERGEFORMAT </w:instrText>
        </w:r>
        <w:r>
          <w:fldChar w:fldCharType="separate"/>
        </w:r>
        <w:r w:rsidR="008D1D47">
          <w:rPr>
            <w:noProof/>
          </w:rPr>
          <w:t>1</w:t>
        </w:r>
        <w:r>
          <w:rPr>
            <w:noProof/>
          </w:rPr>
          <w:fldChar w:fldCharType="end"/>
        </w:r>
        <w:r>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165025"/>
      <w:docPartObj>
        <w:docPartGallery w:val="Page Numbers (Bottom of Page)"/>
        <w:docPartUnique/>
      </w:docPartObj>
    </w:sdtPr>
    <w:sdtEndPr>
      <w:rPr>
        <w:noProof/>
      </w:rPr>
    </w:sdtEndPr>
    <w:sdtContent>
      <w:p w14:paraId="06C53DE6" w14:textId="77777777" w:rsidR="00D5533B" w:rsidRDefault="00D5533B" w:rsidP="0090757D">
        <w:pPr>
          <w:pStyle w:val="Footer"/>
          <w:jc w:val="center"/>
          <w:rPr>
            <w:noProof/>
          </w:rPr>
        </w:pPr>
        <w:r>
          <w:t xml:space="preserve">- </w:t>
        </w:r>
        <w:r>
          <w:fldChar w:fldCharType="begin"/>
        </w:r>
        <w:r>
          <w:instrText xml:space="preserve"> PAGE   \* MERGEFORMAT </w:instrText>
        </w:r>
        <w:r>
          <w:fldChar w:fldCharType="separate"/>
        </w:r>
        <w:r>
          <w:t>1</w:t>
        </w:r>
        <w:r>
          <w:rPr>
            <w:noProof/>
          </w:rPr>
          <w:fldChar w:fldCharType="end"/>
        </w:r>
        <w:r>
          <w:rPr>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318F" w14:textId="77777777" w:rsidR="00B55FCA" w:rsidRDefault="00B55F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895" w14:textId="77777777" w:rsidR="00D5533B" w:rsidRDefault="00D5533B" w:rsidP="00FE49FF">
    <w:pPr>
      <w:pStyle w:val="Footer"/>
      <w:jc w:val="center"/>
    </w:pPr>
    <w:r>
      <w:fldChar w:fldCharType="begin"/>
    </w:r>
    <w:r>
      <w:instrText xml:space="preserve"> PAGE  \* roman  \* MERGEFORMAT </w:instrText>
    </w:r>
    <w:r>
      <w:fldChar w:fldCharType="separate"/>
    </w:r>
    <w:r>
      <w:rPr>
        <w:noProof/>
      </w:rPr>
      <w:t>viii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5798" w14:textId="77777777" w:rsidR="00D5533B" w:rsidRDefault="00D5533B" w:rsidP="00FE49FF">
    <w:pPr>
      <w:pStyle w:val="Footer"/>
      <w:jc w:val="center"/>
    </w:pPr>
    <w:r>
      <w:fldChar w:fldCharType="begin"/>
    </w:r>
    <w:r>
      <w:instrText xml:space="preserve"> PAGE  \* roman  \* MERGEFORMAT </w:instrText>
    </w:r>
    <w:r>
      <w:fldChar w:fldCharType="separate"/>
    </w:r>
    <w:r>
      <w:rPr>
        <w:noProof/>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1CB9" w14:textId="77777777" w:rsidR="00D5533B" w:rsidRPr="00196CC8" w:rsidRDefault="00D5533B" w:rsidP="00196C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57610"/>
      <w:docPartObj>
        <w:docPartGallery w:val="Page Numbers (Bottom of Page)"/>
        <w:docPartUnique/>
      </w:docPartObj>
    </w:sdtPr>
    <w:sdtEndPr>
      <w:rPr>
        <w:noProof/>
      </w:rPr>
    </w:sdtEndPr>
    <w:sdtContent>
      <w:p w14:paraId="5840688C" w14:textId="77777777" w:rsidR="00D5533B" w:rsidRDefault="00D5533B" w:rsidP="0090757D">
        <w:pPr>
          <w:pStyle w:val="Footer"/>
          <w:jc w:val="center"/>
          <w:rPr>
            <w:noProof/>
          </w:rPr>
        </w:pPr>
        <w:r>
          <w:t xml:space="preserve">- </w:t>
        </w:r>
        <w:r>
          <w:fldChar w:fldCharType="begin"/>
        </w:r>
        <w:r>
          <w:instrText xml:space="preserve"> PAGE   \* MERGEFORMAT </w:instrText>
        </w:r>
        <w:r>
          <w:fldChar w:fldCharType="separate"/>
        </w:r>
        <w:r>
          <w:rPr>
            <w:noProof/>
          </w:rPr>
          <w:t>5</w:t>
        </w:r>
        <w:r>
          <w:rPr>
            <w:noProof/>
          </w:rPr>
          <w:fldChar w:fldCharType="end"/>
        </w:r>
        <w:r>
          <w:rPr>
            <w:noProof/>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441993"/>
      <w:docPartObj>
        <w:docPartGallery w:val="Page Numbers (Bottom of Page)"/>
        <w:docPartUnique/>
      </w:docPartObj>
    </w:sdtPr>
    <w:sdtEndPr>
      <w:rPr>
        <w:noProof/>
      </w:rPr>
    </w:sdtEndPr>
    <w:sdtContent>
      <w:p w14:paraId="057F0AF4" w14:textId="77777777" w:rsidR="00D5533B" w:rsidRDefault="00D5533B" w:rsidP="0090757D">
        <w:pPr>
          <w:pStyle w:val="Foote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973225"/>
      <w:docPartObj>
        <w:docPartGallery w:val="Page Numbers (Bottom of Page)"/>
        <w:docPartUnique/>
      </w:docPartObj>
    </w:sdtPr>
    <w:sdtEndPr>
      <w:rPr>
        <w:noProof/>
      </w:rPr>
    </w:sdtEndPr>
    <w:sdtContent>
      <w:p w14:paraId="6E99D5A5" w14:textId="77777777" w:rsidR="00800348" w:rsidRDefault="00800348">
        <w:pPr>
          <w:pStyle w:val="Footer"/>
          <w:jc w:val="center"/>
        </w:pPr>
      </w:p>
      <w:p w14:paraId="1EA60C29" w14:textId="77777777" w:rsidR="00800348" w:rsidRDefault="00800348">
        <w:pPr>
          <w:pStyle w:val="Footer"/>
          <w:jc w:val="center"/>
        </w:pPr>
        <w:r>
          <w:t>C-</w:t>
        </w: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C165" w14:textId="77777777" w:rsidR="0023133C" w:rsidRDefault="0023133C" w:rsidP="00A325C6">
      <w:pPr>
        <w:spacing w:after="0"/>
      </w:pPr>
      <w:r>
        <w:separator/>
      </w:r>
    </w:p>
  </w:footnote>
  <w:footnote w:type="continuationSeparator" w:id="0">
    <w:p w14:paraId="2BCAEFE9" w14:textId="77777777" w:rsidR="0023133C" w:rsidRDefault="0023133C" w:rsidP="00A325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A2D2" w14:textId="77777777" w:rsidR="00B55FCA" w:rsidRDefault="00B55F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B62E" w14:textId="77777777" w:rsidR="0023133C" w:rsidRDefault="002313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D0F7" w14:textId="77777777" w:rsidR="0023133C" w:rsidRDefault="00231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1DCE" w14:textId="77777777" w:rsidR="00B55FCA" w:rsidRDefault="00B5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F67E" w14:textId="541F6164" w:rsidR="00790D37" w:rsidRDefault="00790D37" w:rsidP="00A13F6D">
    <w:pPr>
      <w:pStyle w:val="Header"/>
      <w:tabs>
        <w:tab w:val="clear" w:pos="4680"/>
        <w:tab w:val="clear" w:pos="9360"/>
        <w:tab w:val="left" w:pos="3435"/>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2BD3" w14:textId="77777777" w:rsidR="00D5533B" w:rsidRDefault="00D5533B" w:rsidP="00FE49FF">
    <w:pPr>
      <w:jc w:val="center"/>
    </w:pPr>
    <w:r>
      <w:t>Table of Contents (continued)</w:t>
    </w:r>
  </w:p>
  <w:p w14:paraId="6C350894" w14:textId="77777777" w:rsidR="00D5533B" w:rsidRDefault="00D5533B" w:rsidP="00FE49FF">
    <w:pPr>
      <w:jc w:val="center"/>
    </w:pPr>
  </w:p>
  <w:p w14:paraId="4997082E" w14:textId="77777777" w:rsidR="00D5533B" w:rsidRPr="00FE49FF" w:rsidRDefault="00D5533B" w:rsidP="00FE49FF">
    <w:pPr>
      <w:spacing w:after="120"/>
      <w:jc w:val="right"/>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8A7A" w14:textId="77777777" w:rsidR="00D5533B" w:rsidRDefault="00D5533B" w:rsidP="00FE49FF">
    <w:pPr>
      <w:jc w:val="center"/>
    </w:pPr>
    <w:r>
      <w:t>Table of Contents</w:t>
    </w:r>
  </w:p>
  <w:p w14:paraId="560E2C2E" w14:textId="77777777" w:rsidR="00D5533B" w:rsidRDefault="00D5533B" w:rsidP="00FE49FF">
    <w:pPr>
      <w:jc w:val="center"/>
    </w:pPr>
  </w:p>
  <w:p w14:paraId="78C1D3F3" w14:textId="77777777" w:rsidR="00D5533B" w:rsidRPr="00FE49FF" w:rsidRDefault="00D5533B" w:rsidP="00FE49FF">
    <w:pPr>
      <w:spacing w:after="120"/>
      <w:jc w:val="right"/>
    </w:pPr>
    <w: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F2CB" w14:textId="77777777" w:rsidR="00D5533B" w:rsidRDefault="00D553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BBF" w14:textId="77777777" w:rsidR="00D5533B" w:rsidRDefault="00D553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E2EA" w14:textId="77777777" w:rsidR="00D5533B" w:rsidRDefault="00D553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3C84" w14:textId="77777777" w:rsidR="0023133C" w:rsidRDefault="00231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240C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2CA7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E0E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E8AE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06B5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07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BEB1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BC5B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EA3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20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12AF8"/>
    <w:multiLevelType w:val="hybridMultilevel"/>
    <w:tmpl w:val="D2882DE4"/>
    <w:lvl w:ilvl="0" w:tplc="2F0E82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0871F3"/>
    <w:multiLevelType w:val="multilevel"/>
    <w:tmpl w:val="C40446AA"/>
    <w:name w:val="zzmpArticle2||Article2|2|1|1|4|0|9||1|0|1||1|0|0||1|0|0||1|0|0||1|0|0||mpNA||mpNA||mpNA||"/>
    <w:lvl w:ilvl="0">
      <w:start w:val="1"/>
      <w:numFmt w:val="upperRoman"/>
      <w:pStyle w:val="Article2L1"/>
      <w:suff w:val="nothing"/>
      <w:lvlText w:val="ARTICLE %1"/>
      <w:lvlJc w:val="left"/>
      <w:pPr>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L2"/>
      <w:isLgl/>
      <w:lvlText w:val="%1.%2"/>
      <w:lvlJc w:val="left"/>
      <w:pPr>
        <w:tabs>
          <w:tab w:val="num" w:pos="3150"/>
        </w:tabs>
        <w:ind w:left="171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2L3"/>
      <w:lvlText w:val="(%3)"/>
      <w:lvlJc w:val="left"/>
      <w:pPr>
        <w:tabs>
          <w:tab w:val="num" w:pos="720"/>
        </w:tabs>
        <w:ind w:left="7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2L4"/>
      <w:lvlText w:val="(%4)"/>
      <w:lvlJc w:val="right"/>
      <w:pPr>
        <w:tabs>
          <w:tab w:val="num" w:pos="2304"/>
        </w:tabs>
        <w:ind w:left="2304" w:hanging="43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2L5"/>
      <w:lvlText w:val="(%5)"/>
      <w:lvlJc w:val="left"/>
      <w:pPr>
        <w:tabs>
          <w:tab w:val="num" w:pos="3024"/>
        </w:tabs>
        <w:ind w:left="3024"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Article2L6"/>
      <w:lvlText w:val="(%6)"/>
      <w:lvlJc w:val="right"/>
      <w:pPr>
        <w:tabs>
          <w:tab w:val="num" w:pos="3888"/>
        </w:tabs>
        <w:ind w:left="3888" w:hanging="43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D0230F"/>
    <w:multiLevelType w:val="hybridMultilevel"/>
    <w:tmpl w:val="C694B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21B4F08"/>
    <w:multiLevelType w:val="hybridMultilevel"/>
    <w:tmpl w:val="B6FC792C"/>
    <w:lvl w:ilvl="0" w:tplc="A58EA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D128F"/>
    <w:multiLevelType w:val="hybridMultilevel"/>
    <w:tmpl w:val="249E265C"/>
    <w:lvl w:ilvl="0" w:tplc="F6BC53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13105B"/>
    <w:multiLevelType w:val="hybridMultilevel"/>
    <w:tmpl w:val="1812CAD2"/>
    <w:lvl w:ilvl="0" w:tplc="2646A32A">
      <w:start w:val="21"/>
      <w:numFmt w:val="bullet"/>
      <w:lvlText w:val="–"/>
      <w:lvlJc w:val="left"/>
      <w:pPr>
        <w:ind w:left="1260" w:hanging="360"/>
      </w:pPr>
      <w:rPr>
        <w:rFonts w:ascii="Emona" w:eastAsiaTheme="minorHAnsi" w:hAnsi="Emona" w:cs="Emon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FCA0A1F"/>
    <w:multiLevelType w:val="multilevel"/>
    <w:tmpl w:val="2D78E490"/>
    <w:name w:val="Number"/>
    <w:lvl w:ilvl="0">
      <w:start w:val="1"/>
      <w:numFmt w:val="lowerRoman"/>
      <w:lvlText w:val="(%1)"/>
      <w:lvlJc w:val="left"/>
      <w:pPr>
        <w:tabs>
          <w:tab w:val="num" w:pos="774"/>
        </w:tabs>
        <w:ind w:left="774" w:hanging="720"/>
      </w:pPr>
      <w:rPr>
        <w:rFonts w:hint="default"/>
        <w:b w:val="0"/>
        <w:i w:val="0"/>
        <w:caps w:val="0"/>
        <w:strike w:val="0"/>
        <w:dstrike w:val="0"/>
        <w:vanish w:val="0"/>
        <w:color w:val="auto"/>
        <w:sz w:val="20"/>
        <w:szCs w:val="20"/>
        <w:u w:val="none"/>
        <w:vertAlign w:val="baseline"/>
      </w:rPr>
    </w:lvl>
    <w:lvl w:ilvl="1">
      <w:start w:val="1"/>
      <w:numFmt w:val="upperLetter"/>
      <w:pStyle w:val="Number2"/>
      <w:lvlText w:val="%2."/>
      <w:lvlJc w:val="left"/>
      <w:pPr>
        <w:tabs>
          <w:tab w:val="num" w:pos="1494"/>
        </w:tabs>
        <w:ind w:left="1494" w:hanging="720"/>
      </w:pPr>
      <w:rPr>
        <w:rFonts w:asciiTheme="minorHAnsi" w:hAnsiTheme="minorHAnsi" w:cs="Times New Roman" w:hint="default"/>
        <w:b w:val="0"/>
        <w:i w:val="0"/>
        <w:caps w:val="0"/>
        <w:strike w:val="0"/>
        <w:dstrike w:val="0"/>
        <w:vanish w:val="0"/>
        <w:color w:val="auto"/>
        <w:sz w:val="21"/>
        <w:u w:val="none"/>
        <w:vertAlign w:val="baseline"/>
      </w:rPr>
    </w:lvl>
    <w:lvl w:ilvl="2">
      <w:start w:val="1"/>
      <w:numFmt w:val="lowerRoman"/>
      <w:pStyle w:val="Number3"/>
      <w:lvlText w:val="(%3)"/>
      <w:lvlJc w:val="left"/>
      <w:pPr>
        <w:tabs>
          <w:tab w:val="num" w:pos="2214"/>
        </w:tabs>
        <w:ind w:left="2214" w:hanging="720"/>
      </w:pPr>
      <w:rPr>
        <w:rFonts w:asciiTheme="minorHAnsi" w:hAnsiTheme="minorHAnsi" w:cs="Times New Roman" w:hint="default"/>
        <w:b w:val="0"/>
        <w:i w:val="0"/>
        <w:caps w:val="0"/>
        <w:strike w:val="0"/>
        <w:dstrike w:val="0"/>
        <w:vanish w:val="0"/>
        <w:color w:val="auto"/>
        <w:sz w:val="21"/>
        <w:u w:val="none"/>
        <w:vertAlign w:val="baseline"/>
      </w:rPr>
    </w:lvl>
    <w:lvl w:ilvl="3">
      <w:start w:val="1"/>
      <w:numFmt w:val="decimal"/>
      <w:pStyle w:val="Number4"/>
      <w:lvlText w:val="%4."/>
      <w:lvlJc w:val="left"/>
      <w:pPr>
        <w:tabs>
          <w:tab w:val="num" w:pos="2934"/>
        </w:tabs>
        <w:ind w:left="2934" w:hanging="720"/>
      </w:pPr>
      <w:rPr>
        <w:rFonts w:ascii="Times New Roman" w:hAnsi="Times New Roman" w:cs="Times New Roman" w:hint="default"/>
        <w:b/>
        <w:i w:val="0"/>
        <w:caps w:val="0"/>
        <w:strike w:val="0"/>
        <w:dstrike w:val="0"/>
        <w:vanish w:val="0"/>
        <w:color w:val="auto"/>
        <w:sz w:val="20"/>
        <w:szCs w:val="20"/>
        <w:u w:val="none"/>
        <w:vertAlign w:val="baseline"/>
      </w:rPr>
    </w:lvl>
    <w:lvl w:ilvl="4">
      <w:start w:val="1"/>
      <w:numFmt w:val="lowerLetter"/>
      <w:pStyle w:val="Number5"/>
      <w:lvlText w:val="(%5)"/>
      <w:lvlJc w:val="left"/>
      <w:pPr>
        <w:tabs>
          <w:tab w:val="num" w:pos="3654"/>
        </w:tabs>
        <w:ind w:left="3654" w:hanging="720"/>
      </w:pPr>
      <w:rPr>
        <w:rFonts w:asciiTheme="minorHAnsi" w:hAnsiTheme="minorHAnsi" w:cstheme="minorHAnsi" w:hint="default"/>
        <w:b w:val="0"/>
        <w:i w:val="0"/>
        <w:caps w:val="0"/>
        <w:strike w:val="0"/>
        <w:dstrike w:val="0"/>
        <w:vanish w:val="0"/>
        <w:color w:val="auto"/>
        <w:sz w:val="22"/>
        <w:szCs w:val="22"/>
        <w:u w:val="none"/>
        <w:vertAlign w:val="baseline"/>
      </w:rPr>
    </w:lvl>
    <w:lvl w:ilvl="5">
      <w:start w:val="1"/>
      <w:numFmt w:val="lowerRoman"/>
      <w:pStyle w:val="Number6"/>
      <w:lvlText w:val="(%6)"/>
      <w:lvlJc w:val="left"/>
      <w:pPr>
        <w:tabs>
          <w:tab w:val="num" w:pos="4374"/>
        </w:tabs>
        <w:ind w:left="4374" w:hanging="720"/>
      </w:pPr>
      <w:rPr>
        <w:rFonts w:asciiTheme="minorHAnsi" w:hAnsiTheme="minorHAnsi" w:cs="Times New Roman" w:hint="default"/>
        <w:b w:val="0"/>
        <w:i w:val="0"/>
        <w:caps w:val="0"/>
        <w:strike w:val="0"/>
        <w:dstrike w:val="0"/>
        <w:vanish w:val="0"/>
        <w:color w:val="auto"/>
        <w:sz w:val="21"/>
        <w:u w:val="none"/>
        <w:vertAlign w:val="baseline"/>
      </w:rPr>
    </w:lvl>
    <w:lvl w:ilvl="6">
      <w:start w:val="1"/>
      <w:numFmt w:val="decimal"/>
      <w:pStyle w:val="Number7"/>
      <w:lvlText w:val="(%7)"/>
      <w:lvlJc w:val="left"/>
      <w:pPr>
        <w:tabs>
          <w:tab w:val="num" w:pos="5094"/>
        </w:tabs>
        <w:ind w:left="5094" w:hanging="720"/>
      </w:pPr>
      <w:rPr>
        <w:rFonts w:ascii="Times New Roman" w:hAnsi="Times New Roman" w:cs="Times New Roman" w:hint="default"/>
        <w:b w:val="0"/>
        <w:i w:val="0"/>
        <w:caps w:val="0"/>
        <w:strike w:val="0"/>
        <w:dstrike w:val="0"/>
        <w:vanish w:val="0"/>
        <w:color w:val="auto"/>
        <w:sz w:val="18"/>
        <w:szCs w:val="18"/>
        <w:u w:val="none"/>
        <w:vertAlign w:val="baseline"/>
      </w:rPr>
    </w:lvl>
    <w:lvl w:ilvl="7">
      <w:start w:val="1"/>
      <w:numFmt w:val="upperLetter"/>
      <w:pStyle w:val="Number8"/>
      <w:lvlText w:val="(%8)"/>
      <w:lvlJc w:val="left"/>
      <w:pPr>
        <w:tabs>
          <w:tab w:val="num" w:pos="5814"/>
        </w:tabs>
        <w:ind w:left="5814" w:hanging="720"/>
      </w:pPr>
      <w:rPr>
        <w:rFonts w:ascii="Times New Roman" w:hAnsi="Times New Roman" w:cs="Times New Roman" w:hint="default"/>
        <w:b w:val="0"/>
        <w:i w:val="0"/>
        <w:caps w:val="0"/>
        <w:strike w:val="0"/>
        <w:dstrike w:val="0"/>
        <w:vanish w:val="0"/>
        <w:color w:val="auto"/>
        <w:sz w:val="20"/>
        <w:szCs w:val="20"/>
        <w:u w:val="none"/>
        <w:vertAlign w:val="baseline"/>
      </w:rPr>
    </w:lvl>
    <w:lvl w:ilvl="8">
      <w:start w:val="1"/>
      <w:numFmt w:val="lowerRoman"/>
      <w:pStyle w:val="Number9"/>
      <w:lvlText w:val="(%9)"/>
      <w:lvlJc w:val="left"/>
      <w:pPr>
        <w:tabs>
          <w:tab w:val="num" w:pos="6534"/>
        </w:tabs>
        <w:ind w:left="6534" w:hanging="720"/>
      </w:pPr>
      <w:rPr>
        <w:rFonts w:asciiTheme="minorHAnsi" w:hAnsiTheme="minorHAnsi" w:cs="Times New Roman" w:hint="default"/>
        <w:b w:val="0"/>
        <w:i w:val="0"/>
        <w:caps w:val="0"/>
        <w:strike w:val="0"/>
        <w:dstrike w:val="0"/>
        <w:vanish w:val="0"/>
        <w:color w:val="auto"/>
        <w:sz w:val="21"/>
        <w:u w:val="none"/>
        <w:vertAlign w:val="baseline"/>
      </w:rPr>
    </w:lvl>
  </w:abstractNum>
  <w:abstractNum w:abstractNumId="17" w15:restartNumberingAfterBreak="0">
    <w:nsid w:val="3F0A1D4F"/>
    <w:multiLevelType w:val="hybridMultilevel"/>
    <w:tmpl w:val="65B6986A"/>
    <w:lvl w:ilvl="0" w:tplc="396C4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03DAB"/>
    <w:multiLevelType w:val="hybridMultilevel"/>
    <w:tmpl w:val="A7A29200"/>
    <w:lvl w:ilvl="0" w:tplc="47E6C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DA5151"/>
    <w:multiLevelType w:val="multilevel"/>
    <w:tmpl w:val="1CCE4BBA"/>
    <w:name w:val="zzmpProspectus||Prospectus|2|5|1|0|2|33||0|2|34||0|2|33||0|2|33||1|2|0||1|2|0||1|2|0||1|2|32||1|2|0||"/>
    <w:lvl w:ilvl="0">
      <w:start w:val="1"/>
      <w:numFmt w:val="none"/>
      <w:pStyle w:val="ProspectusL1"/>
      <w:suff w:val="nothing"/>
      <w:lvlText w:val=""/>
      <w:lvlJc w:val="left"/>
      <w:pPr>
        <w:tabs>
          <w:tab w:val="num" w:pos="720"/>
        </w:tabs>
        <w:ind w:left="0" w:firstLine="0"/>
      </w:pPr>
      <w:rPr>
        <w:rFonts w:ascii="Arial" w:hAnsi="Arial" w:cs="Arial"/>
        <w:b/>
        <w:i w:val="0"/>
        <w:caps w:val="0"/>
        <w:smallCaps w:val="0"/>
        <w:strike w:val="0"/>
        <w:dstrike w:val="0"/>
        <w:sz w:val="24"/>
        <w:u w:val="none"/>
        <w:effect w:val="none"/>
      </w:rPr>
    </w:lvl>
    <w:lvl w:ilvl="1">
      <w:start w:val="1"/>
      <w:numFmt w:val="none"/>
      <w:lvlRestart w:val="0"/>
      <w:pStyle w:val="ProspectusL2"/>
      <w:suff w:val="nothing"/>
      <w:lvlText w:val=""/>
      <w:lvlJc w:val="left"/>
      <w:pPr>
        <w:tabs>
          <w:tab w:val="num" w:pos="720"/>
        </w:tabs>
        <w:ind w:left="0" w:firstLine="0"/>
      </w:pPr>
      <w:rPr>
        <w:rFonts w:ascii="Arial" w:hAnsi="Arial" w:cs="Arial"/>
        <w:b w:val="0"/>
        <w:i/>
        <w:caps w:val="0"/>
        <w:smallCaps w:val="0"/>
        <w:strike w:val="0"/>
        <w:dstrike w:val="0"/>
        <w:sz w:val="22"/>
        <w:u w:val="none"/>
        <w:effect w:val="none"/>
      </w:rPr>
    </w:lvl>
    <w:lvl w:ilvl="2">
      <w:start w:val="1"/>
      <w:numFmt w:val="none"/>
      <w:lvlRestart w:val="0"/>
      <w:pStyle w:val="ProspectusL3"/>
      <w:suff w:val="nothing"/>
      <w:lvlText w:val=""/>
      <w:lvlJc w:val="left"/>
      <w:pPr>
        <w:tabs>
          <w:tab w:val="num" w:pos="720"/>
        </w:tabs>
        <w:ind w:left="0" w:firstLine="0"/>
      </w:pPr>
      <w:rPr>
        <w:rFonts w:ascii="Arial" w:hAnsi="Arial" w:cs="Arial"/>
        <w:b/>
        <w:i w:val="0"/>
        <w:caps w:val="0"/>
        <w:strike w:val="0"/>
        <w:dstrike w:val="0"/>
        <w:sz w:val="22"/>
        <w:u w:val="none"/>
        <w:effect w:val="none"/>
      </w:rPr>
    </w:lvl>
    <w:lvl w:ilvl="3">
      <w:start w:val="1"/>
      <w:numFmt w:val="none"/>
      <w:lvlRestart w:val="0"/>
      <w:pStyle w:val="ProspectusL4"/>
      <w:suff w:val="nothing"/>
      <w:lvlText w:val=""/>
      <w:lvlJc w:val="left"/>
      <w:pPr>
        <w:tabs>
          <w:tab w:val="num" w:pos="720"/>
        </w:tabs>
        <w:ind w:left="0" w:firstLine="0"/>
      </w:pPr>
      <w:rPr>
        <w:rFonts w:ascii="Arial" w:hAnsi="Arial" w:cs="Arial"/>
        <w:b w:val="0"/>
        <w:i w:val="0"/>
        <w:caps w:val="0"/>
        <w:strike w:val="0"/>
        <w:dstrike w:val="0"/>
        <w:sz w:val="22"/>
        <w:u w:val="none"/>
        <w:effect w:val="none"/>
      </w:rPr>
    </w:lvl>
    <w:lvl w:ilvl="4">
      <w:start w:val="1"/>
      <w:numFmt w:val="decimal"/>
      <w:pStyle w:val="ProspectusL5"/>
      <w:lvlText w:val="%5."/>
      <w:lvlJc w:val="left"/>
      <w:pPr>
        <w:tabs>
          <w:tab w:val="num" w:pos="720"/>
        </w:tabs>
        <w:ind w:left="720" w:hanging="720"/>
      </w:pPr>
      <w:rPr>
        <w:rFonts w:ascii="Arial" w:hAnsi="Arial" w:cs="Arial"/>
        <w:b w:val="0"/>
        <w:i w:val="0"/>
        <w:caps w:val="0"/>
        <w:strike w:val="0"/>
        <w:dstrike w:val="0"/>
        <w:sz w:val="20"/>
        <w:u w:val="none"/>
        <w:effect w:val="none"/>
      </w:rPr>
    </w:lvl>
    <w:lvl w:ilvl="5">
      <w:start w:val="1"/>
      <w:numFmt w:val="lowerLetter"/>
      <w:pStyle w:val="ProspectusL6"/>
      <w:lvlText w:val="(%6)"/>
      <w:lvlJc w:val="left"/>
      <w:pPr>
        <w:tabs>
          <w:tab w:val="num" w:pos="1440"/>
        </w:tabs>
        <w:ind w:left="1440" w:hanging="720"/>
      </w:pPr>
      <w:rPr>
        <w:rFonts w:ascii="Arial" w:hAnsi="Arial" w:cs="Arial"/>
        <w:b w:val="0"/>
        <w:i w:val="0"/>
        <w:caps w:val="0"/>
        <w:strike w:val="0"/>
        <w:dstrike w:val="0"/>
        <w:color w:val="auto"/>
        <w:sz w:val="20"/>
        <w:u w:val="none"/>
        <w:effect w:val="none"/>
      </w:rPr>
    </w:lvl>
    <w:lvl w:ilvl="6">
      <w:start w:val="1"/>
      <w:numFmt w:val="lowerRoman"/>
      <w:pStyle w:val="ProspectusL7"/>
      <w:lvlText w:val="(%7)"/>
      <w:lvlJc w:val="left"/>
      <w:pPr>
        <w:tabs>
          <w:tab w:val="num" w:pos="2160"/>
        </w:tabs>
        <w:ind w:left="2160" w:hanging="720"/>
      </w:pPr>
      <w:rPr>
        <w:rFonts w:ascii="Arial" w:hAnsi="Arial" w:cs="Arial"/>
        <w:b w:val="0"/>
        <w:i w:val="0"/>
        <w:caps w:val="0"/>
        <w:strike w:val="0"/>
        <w:dstrike w:val="0"/>
        <w:color w:val="auto"/>
        <w:sz w:val="20"/>
        <w:u w:val="none"/>
        <w:effect w:val="none"/>
      </w:rPr>
    </w:lvl>
    <w:lvl w:ilvl="7">
      <w:start w:val="1"/>
      <w:numFmt w:val="bullet"/>
      <w:lvlRestart w:val="0"/>
      <w:pStyle w:val="ProspectusL8"/>
      <w:lvlText w:val="·"/>
      <w:lvlJc w:val="left"/>
      <w:pPr>
        <w:tabs>
          <w:tab w:val="num" w:pos="1080"/>
        </w:tabs>
        <w:ind w:left="540" w:hanging="540"/>
      </w:pPr>
      <w:rPr>
        <w:rFonts w:ascii="Symbol" w:hAnsi="Symbol" w:hint="default"/>
        <w:b w:val="0"/>
        <w:i w:val="0"/>
        <w:caps w:val="0"/>
        <w:strike w:val="0"/>
        <w:dstrike w:val="0"/>
        <w:color w:val="auto"/>
        <w:sz w:val="22"/>
        <w:u w:val="none"/>
        <w:effect w:val="none"/>
      </w:rPr>
    </w:lvl>
    <w:lvl w:ilvl="8">
      <w:start w:val="1"/>
      <w:numFmt w:val="bullet"/>
      <w:lvlRestart w:val="0"/>
      <w:pStyle w:val="ProspectusL9"/>
      <w:lvlText w:val="·"/>
      <w:lvlJc w:val="left"/>
      <w:pPr>
        <w:tabs>
          <w:tab w:val="num" w:pos="1440"/>
        </w:tabs>
        <w:ind w:left="1440" w:hanging="360"/>
      </w:pPr>
      <w:rPr>
        <w:rFonts w:ascii="Symbol" w:hAnsi="Symbol" w:hint="default"/>
        <w:b w:val="0"/>
        <w:i w:val="0"/>
        <w:caps w:val="0"/>
        <w:strike w:val="0"/>
        <w:dstrike w:val="0"/>
        <w:color w:val="auto"/>
        <w:sz w:val="22"/>
        <w:u w:val="none"/>
        <w:effect w:val="none"/>
      </w:rPr>
    </w:lvl>
  </w:abstractNum>
  <w:abstractNum w:abstractNumId="20" w15:restartNumberingAfterBreak="0">
    <w:nsid w:val="4C9714FC"/>
    <w:multiLevelType w:val="hybridMultilevel"/>
    <w:tmpl w:val="6520F96E"/>
    <w:lvl w:ilvl="0" w:tplc="D8E2D7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1F18E1"/>
    <w:multiLevelType w:val="hybridMultilevel"/>
    <w:tmpl w:val="07A0F446"/>
    <w:lvl w:ilvl="0" w:tplc="5CF0F83E">
      <w:start w:val="1"/>
      <w:numFmt w:val="lowerLetter"/>
      <w:lvlText w:val="(%1)"/>
      <w:lvlJc w:val="left"/>
      <w:pPr>
        <w:ind w:left="720" w:hanging="360"/>
      </w:pPr>
      <w:rPr>
        <w:rFonts w:eastAsia="SymbolOOEn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25267"/>
    <w:multiLevelType w:val="singleLevel"/>
    <w:tmpl w:val="C8DC1CE2"/>
    <w:lvl w:ilvl="0">
      <w:start w:val="1"/>
      <w:numFmt w:val="lowerLetter"/>
      <w:lvlText w:val="(%1)"/>
      <w:lvlJc w:val="left"/>
      <w:pPr>
        <w:tabs>
          <w:tab w:val="num" w:pos="1440"/>
        </w:tabs>
        <w:ind w:left="1440" w:hanging="720"/>
      </w:pPr>
    </w:lvl>
  </w:abstractNum>
  <w:abstractNum w:abstractNumId="23" w15:restartNumberingAfterBreak="0">
    <w:nsid w:val="74217683"/>
    <w:multiLevelType w:val="hybridMultilevel"/>
    <w:tmpl w:val="65B6986A"/>
    <w:lvl w:ilvl="0" w:tplc="396C4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B1F76"/>
    <w:multiLevelType w:val="hybridMultilevel"/>
    <w:tmpl w:val="65B6986A"/>
    <w:lvl w:ilvl="0" w:tplc="396C4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22A3D"/>
    <w:multiLevelType w:val="multilevel"/>
    <w:tmpl w:val="FF006844"/>
    <w:name w:val="Bullet"/>
    <w:lvl w:ilvl="0">
      <w:start w:val="1"/>
      <w:numFmt w:val="bullet"/>
      <w:lvlRestart w:val="0"/>
      <w:pStyle w:val="Bullet1"/>
      <w:lvlText w:val=""/>
      <w:lvlJc w:val="left"/>
      <w:pPr>
        <w:tabs>
          <w:tab w:val="num" w:pos="720"/>
        </w:tabs>
        <w:ind w:left="720" w:hanging="36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2"/>
      <w:lvlText w:val=""/>
      <w:lvlJc w:val="left"/>
      <w:pPr>
        <w:tabs>
          <w:tab w:val="num" w:pos="1440"/>
        </w:tabs>
        <w:ind w:left="1440" w:hanging="36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3"/>
      <w:lvlText w:val=""/>
      <w:lvlJc w:val="left"/>
      <w:pPr>
        <w:tabs>
          <w:tab w:val="num" w:pos="2160"/>
        </w:tabs>
        <w:ind w:left="2160" w:hanging="36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4"/>
      <w:lvlText w:val=""/>
      <w:lvlJc w:val="left"/>
      <w:pPr>
        <w:tabs>
          <w:tab w:val="num" w:pos="2880"/>
        </w:tabs>
        <w:ind w:left="2880" w:hanging="36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5"/>
      <w:lvlText w:val=""/>
      <w:lvlJc w:val="left"/>
      <w:pPr>
        <w:tabs>
          <w:tab w:val="num" w:pos="3600"/>
        </w:tabs>
        <w:ind w:left="3600" w:hanging="36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6"/>
      <w:lvlText w:val=""/>
      <w:lvlJc w:val="left"/>
      <w:pPr>
        <w:tabs>
          <w:tab w:val="num" w:pos="4320"/>
        </w:tabs>
        <w:ind w:left="4320" w:hanging="36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7"/>
      <w:lvlText w:val=""/>
      <w:lvlJc w:val="left"/>
      <w:pPr>
        <w:tabs>
          <w:tab w:val="num" w:pos="5040"/>
        </w:tabs>
        <w:ind w:left="5040" w:hanging="360"/>
      </w:pPr>
      <w:rPr>
        <w:rFonts w:ascii="Symbol" w:hAnsi="Symbol" w:hint="default"/>
        <w:b w:val="0"/>
        <w:i w:val="0"/>
        <w:caps w:val="0"/>
        <w:strike w:val="0"/>
        <w:dstrike w:val="0"/>
        <w:vanish w:val="0"/>
        <w:color w:val="auto"/>
        <w:sz w:val="24"/>
        <w:u w:val="none"/>
        <w:vertAlign w:val="baseline"/>
      </w:rPr>
    </w:lvl>
    <w:lvl w:ilvl="7">
      <w:start w:val="1"/>
      <w:numFmt w:val="bullet"/>
      <w:lvlRestart w:val="0"/>
      <w:pStyle w:val="Bullet8"/>
      <w:suff w:val="nothing"/>
      <w:lvlText w:val=""/>
      <w:lvlJc w:val="left"/>
      <w:pPr>
        <w:ind w:left="5760" w:hanging="360"/>
      </w:pPr>
      <w:rPr>
        <w:rFonts w:ascii="Symbol" w:hAnsi="Symbol" w:hint="default"/>
        <w:b w:val="0"/>
        <w:i w:val="0"/>
        <w:caps w:val="0"/>
        <w:strike w:val="0"/>
        <w:dstrike w:val="0"/>
        <w:vanish w:val="0"/>
        <w:color w:val="auto"/>
        <w:sz w:val="22"/>
        <w:u w:val="none"/>
        <w:vertAlign w:val="baseline"/>
      </w:rPr>
    </w:lvl>
    <w:lvl w:ilvl="8">
      <w:start w:val="1"/>
      <w:numFmt w:val="bullet"/>
      <w:lvlRestart w:val="0"/>
      <w:pStyle w:val="Bullet9"/>
      <w:suff w:val="nothing"/>
      <w:lvlText w:val=""/>
      <w:lvlJc w:val="left"/>
      <w:pPr>
        <w:ind w:left="6480" w:hanging="360"/>
      </w:pPr>
      <w:rPr>
        <w:rFonts w:ascii="Symbol" w:hAnsi="Symbol" w:hint="default"/>
        <w:b w:val="0"/>
        <w:i w:val="0"/>
        <w:caps w:val="0"/>
        <w:strike w:val="0"/>
        <w:dstrike w:val="0"/>
        <w:vanish w:val="0"/>
        <w:color w:val="auto"/>
        <w:sz w:val="22"/>
        <w:u w:val="none"/>
        <w:vertAlign w:val="baseline"/>
      </w:rPr>
    </w:lvl>
  </w:abstractNum>
  <w:num w:numId="1" w16cid:durableId="927081705">
    <w:abstractNumId w:val="9"/>
  </w:num>
  <w:num w:numId="2" w16cid:durableId="1659843309">
    <w:abstractNumId w:val="7"/>
  </w:num>
  <w:num w:numId="3" w16cid:durableId="266231755">
    <w:abstractNumId w:val="6"/>
  </w:num>
  <w:num w:numId="4" w16cid:durableId="1599872984">
    <w:abstractNumId w:val="5"/>
  </w:num>
  <w:num w:numId="5" w16cid:durableId="1668552410">
    <w:abstractNumId w:val="4"/>
  </w:num>
  <w:num w:numId="6" w16cid:durableId="736900149">
    <w:abstractNumId w:val="8"/>
  </w:num>
  <w:num w:numId="7" w16cid:durableId="1684630776">
    <w:abstractNumId w:val="3"/>
  </w:num>
  <w:num w:numId="8" w16cid:durableId="1224297241">
    <w:abstractNumId w:val="2"/>
  </w:num>
  <w:num w:numId="9" w16cid:durableId="395781419">
    <w:abstractNumId w:val="1"/>
  </w:num>
  <w:num w:numId="10" w16cid:durableId="434254435">
    <w:abstractNumId w:val="0"/>
  </w:num>
  <w:num w:numId="11" w16cid:durableId="884024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2" w16cid:durableId="10379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3" w16cid:durableId="557008631">
    <w:abstractNumId w:val="12"/>
  </w:num>
  <w:num w:numId="14" w16cid:durableId="422730414">
    <w:abstractNumId w:val="17"/>
  </w:num>
  <w:num w:numId="15" w16cid:durableId="34893725">
    <w:abstractNumId w:val="24"/>
  </w:num>
  <w:num w:numId="16" w16cid:durableId="584802415">
    <w:abstractNumId w:val="23"/>
  </w:num>
  <w:num w:numId="17" w16cid:durableId="1492674651">
    <w:abstractNumId w:val="21"/>
  </w:num>
  <w:num w:numId="18" w16cid:durableId="912815208">
    <w:abstractNumId w:val="25"/>
  </w:num>
  <w:num w:numId="19" w16cid:durableId="460685172">
    <w:abstractNumId w:val="15"/>
  </w:num>
  <w:num w:numId="20" w16cid:durableId="1770615068">
    <w:abstractNumId w:val="16"/>
  </w:num>
  <w:num w:numId="21" w16cid:durableId="69427015">
    <w:abstractNumId w:val="13"/>
  </w:num>
  <w:num w:numId="22" w16cid:durableId="1761560643">
    <w:abstractNumId w:val="14"/>
  </w:num>
  <w:num w:numId="23" w16cid:durableId="110636268">
    <w:abstractNumId w:val="20"/>
  </w:num>
  <w:num w:numId="24" w16cid:durableId="599069054">
    <w:abstractNumId w:val="18"/>
  </w:num>
  <w:num w:numId="25" w16cid:durableId="87192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4612274">
    <w:abstractNumId w:val="11"/>
  </w:num>
  <w:num w:numId="27" w16cid:durableId="1304695071">
    <w:abstractNumId w:val="22"/>
  </w:num>
  <w:num w:numId="28" w16cid:durableId="1279725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TOC_c_1" w:val="&lt;TOC Type=&quot;0&quot;&gt;&lt;Name&gt;Doc Table of Contents 1&lt;/Name&gt;&lt;UseHyperlink&gt;Tru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Heading 1&lt;/Style&gt;&lt;/Styles&gt;&lt;Format Value=&quot;B&quot; /&gt;&lt;Type Value=&quot;Whole Paragraph&quot; /&gt;&lt;TabLeader&gt;Dots&lt;/TabLeader&gt;&lt;/Level&gt;&lt;Level ID=&quot;2&quot; IncludePageNumber=&quot;TRUE&quot;&gt;&lt;Styles&gt;&lt;Style&gt;Heading 2&lt;/Style&gt;&lt;/Styles&gt;&lt;Format Value=&quot;&quot; /&gt;&lt;Type Value=&quot;Whole Paragraph&quot; /&gt;&lt;TabLeader&gt;Dots&lt;/TabLeader&gt;&lt;/Level&gt;&lt;/Levels&gt;&lt;SectionProperties xmlns:xsd=&quot;http://www.w3.org/2001/XMLSchema&quot; xmlns:xsi=&quot;http://www.w3.org/2001/XMLSchema-instance&quot;&gt;&lt;MarginTop&gt;72&lt;/MarginTop&gt;&lt;MarginLeft&gt;72&lt;/MarginLeft&gt;&lt;MarginRight&gt;72&lt;/MarginRight&gt;&lt;MarginBottom&gt;72&lt;/MarginBottom&gt;&lt;IncludeSection&gt;tru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s>
  <w:rsids>
    <w:rsidRoot w:val="00441D5B"/>
    <w:rsid w:val="00007A02"/>
    <w:rsid w:val="0001093B"/>
    <w:rsid w:val="00012515"/>
    <w:rsid w:val="00012E4B"/>
    <w:rsid w:val="00016342"/>
    <w:rsid w:val="00017DB7"/>
    <w:rsid w:val="00017E37"/>
    <w:rsid w:val="000216FD"/>
    <w:rsid w:val="00024DFF"/>
    <w:rsid w:val="000306BB"/>
    <w:rsid w:val="0003118C"/>
    <w:rsid w:val="00031213"/>
    <w:rsid w:val="00034D83"/>
    <w:rsid w:val="0003653D"/>
    <w:rsid w:val="00040130"/>
    <w:rsid w:val="00047ABA"/>
    <w:rsid w:val="00051F5C"/>
    <w:rsid w:val="00054982"/>
    <w:rsid w:val="00054CF5"/>
    <w:rsid w:val="000615C9"/>
    <w:rsid w:val="000620A0"/>
    <w:rsid w:val="00062CE0"/>
    <w:rsid w:val="00064CAA"/>
    <w:rsid w:val="0007336F"/>
    <w:rsid w:val="00073C70"/>
    <w:rsid w:val="00075280"/>
    <w:rsid w:val="00076148"/>
    <w:rsid w:val="00080E5A"/>
    <w:rsid w:val="000876AF"/>
    <w:rsid w:val="0009769D"/>
    <w:rsid w:val="000A0035"/>
    <w:rsid w:val="000A23B7"/>
    <w:rsid w:val="000B2C4B"/>
    <w:rsid w:val="000B3882"/>
    <w:rsid w:val="000B38CE"/>
    <w:rsid w:val="000B6E5B"/>
    <w:rsid w:val="000C240D"/>
    <w:rsid w:val="000C2AB4"/>
    <w:rsid w:val="000C34D3"/>
    <w:rsid w:val="000C4980"/>
    <w:rsid w:val="000C4B57"/>
    <w:rsid w:val="000C66F4"/>
    <w:rsid w:val="000C6EE6"/>
    <w:rsid w:val="000C7AA2"/>
    <w:rsid w:val="000D1123"/>
    <w:rsid w:val="000D28E5"/>
    <w:rsid w:val="000D63BC"/>
    <w:rsid w:val="000F0953"/>
    <w:rsid w:val="000F1F64"/>
    <w:rsid w:val="000F3ED8"/>
    <w:rsid w:val="000F6A04"/>
    <w:rsid w:val="001014B8"/>
    <w:rsid w:val="001037A6"/>
    <w:rsid w:val="00104EB8"/>
    <w:rsid w:val="00114FE4"/>
    <w:rsid w:val="0012299E"/>
    <w:rsid w:val="00127A95"/>
    <w:rsid w:val="00127D64"/>
    <w:rsid w:val="00134DFC"/>
    <w:rsid w:val="00140653"/>
    <w:rsid w:val="00141658"/>
    <w:rsid w:val="001437A3"/>
    <w:rsid w:val="00144C41"/>
    <w:rsid w:val="00145614"/>
    <w:rsid w:val="00156FD0"/>
    <w:rsid w:val="00161AC2"/>
    <w:rsid w:val="00163FB4"/>
    <w:rsid w:val="0016414D"/>
    <w:rsid w:val="00164EFE"/>
    <w:rsid w:val="00176140"/>
    <w:rsid w:val="0017663C"/>
    <w:rsid w:val="00181D73"/>
    <w:rsid w:val="00182825"/>
    <w:rsid w:val="00184289"/>
    <w:rsid w:val="00185E9D"/>
    <w:rsid w:val="00187DFA"/>
    <w:rsid w:val="00190260"/>
    <w:rsid w:val="001922B5"/>
    <w:rsid w:val="00193974"/>
    <w:rsid w:val="00196CC8"/>
    <w:rsid w:val="001A22A7"/>
    <w:rsid w:val="001A3BD0"/>
    <w:rsid w:val="001A5DAB"/>
    <w:rsid w:val="001A5F5C"/>
    <w:rsid w:val="001B2065"/>
    <w:rsid w:val="001B495A"/>
    <w:rsid w:val="001C1CA2"/>
    <w:rsid w:val="001C3561"/>
    <w:rsid w:val="001C718C"/>
    <w:rsid w:val="001D227D"/>
    <w:rsid w:val="001D3CBE"/>
    <w:rsid w:val="001D6423"/>
    <w:rsid w:val="001E1D89"/>
    <w:rsid w:val="001E3277"/>
    <w:rsid w:val="001E4067"/>
    <w:rsid w:val="001E6A79"/>
    <w:rsid w:val="001F27E8"/>
    <w:rsid w:val="001F4BB7"/>
    <w:rsid w:val="001F5219"/>
    <w:rsid w:val="001F69F8"/>
    <w:rsid w:val="001F7F21"/>
    <w:rsid w:val="00201003"/>
    <w:rsid w:val="0020294A"/>
    <w:rsid w:val="002051CF"/>
    <w:rsid w:val="00211060"/>
    <w:rsid w:val="00216EC5"/>
    <w:rsid w:val="002238EA"/>
    <w:rsid w:val="0023133C"/>
    <w:rsid w:val="002520AA"/>
    <w:rsid w:val="00252682"/>
    <w:rsid w:val="00260548"/>
    <w:rsid w:val="002628D0"/>
    <w:rsid w:val="00263864"/>
    <w:rsid w:val="00265E06"/>
    <w:rsid w:val="002701F7"/>
    <w:rsid w:val="00271623"/>
    <w:rsid w:val="002744C4"/>
    <w:rsid w:val="002766FB"/>
    <w:rsid w:val="00282157"/>
    <w:rsid w:val="00283749"/>
    <w:rsid w:val="00285E3A"/>
    <w:rsid w:val="00286820"/>
    <w:rsid w:val="00287043"/>
    <w:rsid w:val="002900FA"/>
    <w:rsid w:val="00291F66"/>
    <w:rsid w:val="002926B4"/>
    <w:rsid w:val="002A0315"/>
    <w:rsid w:val="002A2960"/>
    <w:rsid w:val="002A45B8"/>
    <w:rsid w:val="002B3602"/>
    <w:rsid w:val="002B6AE3"/>
    <w:rsid w:val="002C20AA"/>
    <w:rsid w:val="002C263C"/>
    <w:rsid w:val="002C517B"/>
    <w:rsid w:val="002C5257"/>
    <w:rsid w:val="002C596E"/>
    <w:rsid w:val="002D148D"/>
    <w:rsid w:val="002D6AD5"/>
    <w:rsid w:val="002D7C36"/>
    <w:rsid w:val="002E3FDF"/>
    <w:rsid w:val="002E7D20"/>
    <w:rsid w:val="002E7D71"/>
    <w:rsid w:val="002F34B8"/>
    <w:rsid w:val="002F481C"/>
    <w:rsid w:val="002F4F28"/>
    <w:rsid w:val="00301B28"/>
    <w:rsid w:val="00301C3F"/>
    <w:rsid w:val="00315D75"/>
    <w:rsid w:val="00327499"/>
    <w:rsid w:val="00327515"/>
    <w:rsid w:val="00330B27"/>
    <w:rsid w:val="00331765"/>
    <w:rsid w:val="00336D58"/>
    <w:rsid w:val="00353497"/>
    <w:rsid w:val="00356F17"/>
    <w:rsid w:val="00356F7F"/>
    <w:rsid w:val="00357507"/>
    <w:rsid w:val="00370EE9"/>
    <w:rsid w:val="00372458"/>
    <w:rsid w:val="00373CE8"/>
    <w:rsid w:val="00373DF6"/>
    <w:rsid w:val="00375AF2"/>
    <w:rsid w:val="00390543"/>
    <w:rsid w:val="0039187A"/>
    <w:rsid w:val="003926A9"/>
    <w:rsid w:val="003965AB"/>
    <w:rsid w:val="003A2A1C"/>
    <w:rsid w:val="003A5CD5"/>
    <w:rsid w:val="003B1857"/>
    <w:rsid w:val="003B268B"/>
    <w:rsid w:val="003B4E6C"/>
    <w:rsid w:val="003B577D"/>
    <w:rsid w:val="003B653B"/>
    <w:rsid w:val="003C3184"/>
    <w:rsid w:val="003D050A"/>
    <w:rsid w:val="003D352B"/>
    <w:rsid w:val="003E0215"/>
    <w:rsid w:val="003E5803"/>
    <w:rsid w:val="003F2C33"/>
    <w:rsid w:val="003F457B"/>
    <w:rsid w:val="003F784C"/>
    <w:rsid w:val="00400446"/>
    <w:rsid w:val="0040471F"/>
    <w:rsid w:val="00413DCD"/>
    <w:rsid w:val="00420329"/>
    <w:rsid w:val="00424850"/>
    <w:rsid w:val="00425689"/>
    <w:rsid w:val="004360C8"/>
    <w:rsid w:val="00437290"/>
    <w:rsid w:val="00441D5B"/>
    <w:rsid w:val="004502E6"/>
    <w:rsid w:val="004566D0"/>
    <w:rsid w:val="00461441"/>
    <w:rsid w:val="00463870"/>
    <w:rsid w:val="00470A97"/>
    <w:rsid w:val="0047102D"/>
    <w:rsid w:val="00471410"/>
    <w:rsid w:val="00472E1F"/>
    <w:rsid w:val="00474DA9"/>
    <w:rsid w:val="00475DEA"/>
    <w:rsid w:val="00480D95"/>
    <w:rsid w:val="0048798B"/>
    <w:rsid w:val="0049698B"/>
    <w:rsid w:val="004A14E1"/>
    <w:rsid w:val="004A4565"/>
    <w:rsid w:val="004A495A"/>
    <w:rsid w:val="004A7E51"/>
    <w:rsid w:val="004C4867"/>
    <w:rsid w:val="004C61AF"/>
    <w:rsid w:val="004D06F1"/>
    <w:rsid w:val="004D129B"/>
    <w:rsid w:val="004D7A4E"/>
    <w:rsid w:val="004E187A"/>
    <w:rsid w:val="004E77D2"/>
    <w:rsid w:val="004F1203"/>
    <w:rsid w:val="004F15F7"/>
    <w:rsid w:val="004F547A"/>
    <w:rsid w:val="004F6074"/>
    <w:rsid w:val="005013CD"/>
    <w:rsid w:val="00504607"/>
    <w:rsid w:val="0051220F"/>
    <w:rsid w:val="00516F87"/>
    <w:rsid w:val="00517692"/>
    <w:rsid w:val="0052299F"/>
    <w:rsid w:val="005259CF"/>
    <w:rsid w:val="005260E4"/>
    <w:rsid w:val="00527E72"/>
    <w:rsid w:val="00530018"/>
    <w:rsid w:val="00530ABD"/>
    <w:rsid w:val="00530E16"/>
    <w:rsid w:val="00533B7B"/>
    <w:rsid w:val="00533C62"/>
    <w:rsid w:val="005348B9"/>
    <w:rsid w:val="0054296C"/>
    <w:rsid w:val="00544333"/>
    <w:rsid w:val="005450BD"/>
    <w:rsid w:val="0054793B"/>
    <w:rsid w:val="005557B6"/>
    <w:rsid w:val="00561F04"/>
    <w:rsid w:val="0056213F"/>
    <w:rsid w:val="00563721"/>
    <w:rsid w:val="005644C2"/>
    <w:rsid w:val="00566F46"/>
    <w:rsid w:val="0057073C"/>
    <w:rsid w:val="00571E9E"/>
    <w:rsid w:val="00573B51"/>
    <w:rsid w:val="00577335"/>
    <w:rsid w:val="005814A1"/>
    <w:rsid w:val="0058673B"/>
    <w:rsid w:val="00586AF8"/>
    <w:rsid w:val="00587938"/>
    <w:rsid w:val="00591333"/>
    <w:rsid w:val="0059465B"/>
    <w:rsid w:val="005A0645"/>
    <w:rsid w:val="005A47E5"/>
    <w:rsid w:val="005A5473"/>
    <w:rsid w:val="005A5DC3"/>
    <w:rsid w:val="005B0744"/>
    <w:rsid w:val="005B2E57"/>
    <w:rsid w:val="005B3B09"/>
    <w:rsid w:val="005C04FA"/>
    <w:rsid w:val="005C6718"/>
    <w:rsid w:val="005D19A9"/>
    <w:rsid w:val="005D286D"/>
    <w:rsid w:val="005D2D66"/>
    <w:rsid w:val="005D30FB"/>
    <w:rsid w:val="005D3421"/>
    <w:rsid w:val="005D5317"/>
    <w:rsid w:val="005E19F2"/>
    <w:rsid w:val="005E2F98"/>
    <w:rsid w:val="005E60D2"/>
    <w:rsid w:val="005F4EDE"/>
    <w:rsid w:val="005F7C3C"/>
    <w:rsid w:val="00601025"/>
    <w:rsid w:val="006033F4"/>
    <w:rsid w:val="00604B8D"/>
    <w:rsid w:val="00604F54"/>
    <w:rsid w:val="0060529E"/>
    <w:rsid w:val="006078C8"/>
    <w:rsid w:val="006079BE"/>
    <w:rsid w:val="00613448"/>
    <w:rsid w:val="006212D1"/>
    <w:rsid w:val="00621F72"/>
    <w:rsid w:val="0062474D"/>
    <w:rsid w:val="00630008"/>
    <w:rsid w:val="00631E36"/>
    <w:rsid w:val="006454E8"/>
    <w:rsid w:val="006455F7"/>
    <w:rsid w:val="0064562E"/>
    <w:rsid w:val="00645771"/>
    <w:rsid w:val="00652062"/>
    <w:rsid w:val="006527C0"/>
    <w:rsid w:val="006541E9"/>
    <w:rsid w:val="00654381"/>
    <w:rsid w:val="006547C4"/>
    <w:rsid w:val="006607A2"/>
    <w:rsid w:val="00664C98"/>
    <w:rsid w:val="00667E02"/>
    <w:rsid w:val="00671FF1"/>
    <w:rsid w:val="00673CA5"/>
    <w:rsid w:val="00680322"/>
    <w:rsid w:val="00684241"/>
    <w:rsid w:val="006933A6"/>
    <w:rsid w:val="00694DA1"/>
    <w:rsid w:val="00695633"/>
    <w:rsid w:val="006967A3"/>
    <w:rsid w:val="00696A27"/>
    <w:rsid w:val="006A2B13"/>
    <w:rsid w:val="006A2BFA"/>
    <w:rsid w:val="006A3973"/>
    <w:rsid w:val="006A48C4"/>
    <w:rsid w:val="006A5CEB"/>
    <w:rsid w:val="006B4884"/>
    <w:rsid w:val="006C3405"/>
    <w:rsid w:val="006C731C"/>
    <w:rsid w:val="006D24B4"/>
    <w:rsid w:val="006D3BD0"/>
    <w:rsid w:val="006D5FBC"/>
    <w:rsid w:val="006F04E2"/>
    <w:rsid w:val="006F1024"/>
    <w:rsid w:val="006F14FA"/>
    <w:rsid w:val="006F43C7"/>
    <w:rsid w:val="006F6E64"/>
    <w:rsid w:val="006F7A6C"/>
    <w:rsid w:val="007010E2"/>
    <w:rsid w:val="007011CE"/>
    <w:rsid w:val="0070601B"/>
    <w:rsid w:val="00706462"/>
    <w:rsid w:val="00706FB9"/>
    <w:rsid w:val="00712A07"/>
    <w:rsid w:val="0071735E"/>
    <w:rsid w:val="007230D0"/>
    <w:rsid w:val="00725FF8"/>
    <w:rsid w:val="00727855"/>
    <w:rsid w:val="00730AC9"/>
    <w:rsid w:val="00737AF3"/>
    <w:rsid w:val="00743286"/>
    <w:rsid w:val="00743997"/>
    <w:rsid w:val="00746F4A"/>
    <w:rsid w:val="00747CA2"/>
    <w:rsid w:val="00752539"/>
    <w:rsid w:val="007529AA"/>
    <w:rsid w:val="00753A42"/>
    <w:rsid w:val="00754398"/>
    <w:rsid w:val="00754721"/>
    <w:rsid w:val="007563CA"/>
    <w:rsid w:val="00756A3A"/>
    <w:rsid w:val="00756E47"/>
    <w:rsid w:val="0075772D"/>
    <w:rsid w:val="007615E7"/>
    <w:rsid w:val="007643B9"/>
    <w:rsid w:val="00764E10"/>
    <w:rsid w:val="00770851"/>
    <w:rsid w:val="00773024"/>
    <w:rsid w:val="00777739"/>
    <w:rsid w:val="00782057"/>
    <w:rsid w:val="00790D37"/>
    <w:rsid w:val="00791B38"/>
    <w:rsid w:val="00791DDE"/>
    <w:rsid w:val="007943F1"/>
    <w:rsid w:val="00794FD3"/>
    <w:rsid w:val="00796C05"/>
    <w:rsid w:val="00797F82"/>
    <w:rsid w:val="007A3B73"/>
    <w:rsid w:val="007A3C60"/>
    <w:rsid w:val="007B0361"/>
    <w:rsid w:val="007B2117"/>
    <w:rsid w:val="007B2C7E"/>
    <w:rsid w:val="007B3BFB"/>
    <w:rsid w:val="007B58AC"/>
    <w:rsid w:val="007C1C1B"/>
    <w:rsid w:val="007C2C2C"/>
    <w:rsid w:val="007C5287"/>
    <w:rsid w:val="007D2626"/>
    <w:rsid w:val="007D4806"/>
    <w:rsid w:val="007E2224"/>
    <w:rsid w:val="007E4198"/>
    <w:rsid w:val="007F5432"/>
    <w:rsid w:val="00800348"/>
    <w:rsid w:val="008020DB"/>
    <w:rsid w:val="00802AB1"/>
    <w:rsid w:val="0080533D"/>
    <w:rsid w:val="00805A7B"/>
    <w:rsid w:val="00805E64"/>
    <w:rsid w:val="00806A66"/>
    <w:rsid w:val="00807C0C"/>
    <w:rsid w:val="00810AA9"/>
    <w:rsid w:val="00816F3F"/>
    <w:rsid w:val="008224B3"/>
    <w:rsid w:val="0082338F"/>
    <w:rsid w:val="008273D7"/>
    <w:rsid w:val="0083052E"/>
    <w:rsid w:val="0083435F"/>
    <w:rsid w:val="008466CC"/>
    <w:rsid w:val="008479F9"/>
    <w:rsid w:val="00847AE9"/>
    <w:rsid w:val="008503CD"/>
    <w:rsid w:val="00854E92"/>
    <w:rsid w:val="00870481"/>
    <w:rsid w:val="00881BCD"/>
    <w:rsid w:val="00884F7A"/>
    <w:rsid w:val="00886CDD"/>
    <w:rsid w:val="00887339"/>
    <w:rsid w:val="008907BE"/>
    <w:rsid w:val="00897DC3"/>
    <w:rsid w:val="008A169C"/>
    <w:rsid w:val="008A1D47"/>
    <w:rsid w:val="008A295B"/>
    <w:rsid w:val="008B0AA2"/>
    <w:rsid w:val="008B1E20"/>
    <w:rsid w:val="008B36E6"/>
    <w:rsid w:val="008B592B"/>
    <w:rsid w:val="008B7600"/>
    <w:rsid w:val="008C0A0A"/>
    <w:rsid w:val="008C5F2C"/>
    <w:rsid w:val="008D1903"/>
    <w:rsid w:val="008D1D47"/>
    <w:rsid w:val="008D2045"/>
    <w:rsid w:val="008D2247"/>
    <w:rsid w:val="008D47E4"/>
    <w:rsid w:val="008D697D"/>
    <w:rsid w:val="008E0361"/>
    <w:rsid w:val="008E2B42"/>
    <w:rsid w:val="008E3248"/>
    <w:rsid w:val="008F5A0E"/>
    <w:rsid w:val="00901672"/>
    <w:rsid w:val="009034E5"/>
    <w:rsid w:val="00903514"/>
    <w:rsid w:val="0090457A"/>
    <w:rsid w:val="00905CCE"/>
    <w:rsid w:val="0090757D"/>
    <w:rsid w:val="00907B60"/>
    <w:rsid w:val="00911E04"/>
    <w:rsid w:val="00913A90"/>
    <w:rsid w:val="0091589F"/>
    <w:rsid w:val="00922389"/>
    <w:rsid w:val="00926434"/>
    <w:rsid w:val="00930A19"/>
    <w:rsid w:val="00931814"/>
    <w:rsid w:val="009448C5"/>
    <w:rsid w:val="009455EF"/>
    <w:rsid w:val="00945C50"/>
    <w:rsid w:val="0094666C"/>
    <w:rsid w:val="009467CB"/>
    <w:rsid w:val="00950EED"/>
    <w:rsid w:val="00952074"/>
    <w:rsid w:val="0096135F"/>
    <w:rsid w:val="00963C6B"/>
    <w:rsid w:val="00963FA4"/>
    <w:rsid w:val="0096457F"/>
    <w:rsid w:val="00964F33"/>
    <w:rsid w:val="009704FA"/>
    <w:rsid w:val="009721B4"/>
    <w:rsid w:val="0097375C"/>
    <w:rsid w:val="009805C2"/>
    <w:rsid w:val="009825A9"/>
    <w:rsid w:val="00985FF1"/>
    <w:rsid w:val="0099039B"/>
    <w:rsid w:val="00991953"/>
    <w:rsid w:val="00996D31"/>
    <w:rsid w:val="00996DF1"/>
    <w:rsid w:val="009979DC"/>
    <w:rsid w:val="00997A1A"/>
    <w:rsid w:val="009A7D3E"/>
    <w:rsid w:val="009B2EAA"/>
    <w:rsid w:val="009B56EA"/>
    <w:rsid w:val="009C5AB1"/>
    <w:rsid w:val="009E050C"/>
    <w:rsid w:val="009E264E"/>
    <w:rsid w:val="009E2674"/>
    <w:rsid w:val="009E4BC1"/>
    <w:rsid w:val="009E4EED"/>
    <w:rsid w:val="009F1404"/>
    <w:rsid w:val="009F60F3"/>
    <w:rsid w:val="00A13F6D"/>
    <w:rsid w:val="00A1599A"/>
    <w:rsid w:val="00A20606"/>
    <w:rsid w:val="00A21C03"/>
    <w:rsid w:val="00A24C4C"/>
    <w:rsid w:val="00A24FF2"/>
    <w:rsid w:val="00A26291"/>
    <w:rsid w:val="00A266BC"/>
    <w:rsid w:val="00A319E7"/>
    <w:rsid w:val="00A325C6"/>
    <w:rsid w:val="00A34CE3"/>
    <w:rsid w:val="00A42761"/>
    <w:rsid w:val="00A471DF"/>
    <w:rsid w:val="00A4725B"/>
    <w:rsid w:val="00A47E3B"/>
    <w:rsid w:val="00A510C3"/>
    <w:rsid w:val="00A57AB2"/>
    <w:rsid w:val="00A608AC"/>
    <w:rsid w:val="00A620BF"/>
    <w:rsid w:val="00A639C9"/>
    <w:rsid w:val="00A71815"/>
    <w:rsid w:val="00A73CDC"/>
    <w:rsid w:val="00A74392"/>
    <w:rsid w:val="00A752CD"/>
    <w:rsid w:val="00A8144E"/>
    <w:rsid w:val="00A853E5"/>
    <w:rsid w:val="00A86E2D"/>
    <w:rsid w:val="00A87B87"/>
    <w:rsid w:val="00A92080"/>
    <w:rsid w:val="00A95357"/>
    <w:rsid w:val="00AA3D89"/>
    <w:rsid w:val="00AB4834"/>
    <w:rsid w:val="00AB4BB9"/>
    <w:rsid w:val="00AB7F93"/>
    <w:rsid w:val="00AC52D5"/>
    <w:rsid w:val="00AD4B1F"/>
    <w:rsid w:val="00AD791B"/>
    <w:rsid w:val="00AE347C"/>
    <w:rsid w:val="00AE3A4E"/>
    <w:rsid w:val="00AE3DF4"/>
    <w:rsid w:val="00AE6541"/>
    <w:rsid w:val="00AF1780"/>
    <w:rsid w:val="00AF23B3"/>
    <w:rsid w:val="00AF2436"/>
    <w:rsid w:val="00AF24A1"/>
    <w:rsid w:val="00AF525D"/>
    <w:rsid w:val="00B10C9B"/>
    <w:rsid w:val="00B11FE7"/>
    <w:rsid w:val="00B16E40"/>
    <w:rsid w:val="00B200EA"/>
    <w:rsid w:val="00B22DF2"/>
    <w:rsid w:val="00B301A9"/>
    <w:rsid w:val="00B34B5E"/>
    <w:rsid w:val="00B363C6"/>
    <w:rsid w:val="00B372DB"/>
    <w:rsid w:val="00B40F91"/>
    <w:rsid w:val="00B46DBE"/>
    <w:rsid w:val="00B52922"/>
    <w:rsid w:val="00B554FD"/>
    <w:rsid w:val="00B55FCA"/>
    <w:rsid w:val="00B56923"/>
    <w:rsid w:val="00B618BD"/>
    <w:rsid w:val="00B62B49"/>
    <w:rsid w:val="00B725B8"/>
    <w:rsid w:val="00B7478C"/>
    <w:rsid w:val="00B7567D"/>
    <w:rsid w:val="00B84464"/>
    <w:rsid w:val="00B84A66"/>
    <w:rsid w:val="00B9187E"/>
    <w:rsid w:val="00B92D98"/>
    <w:rsid w:val="00B97B87"/>
    <w:rsid w:val="00BA13BC"/>
    <w:rsid w:val="00BA14CC"/>
    <w:rsid w:val="00BA184D"/>
    <w:rsid w:val="00BA259D"/>
    <w:rsid w:val="00BA3BDA"/>
    <w:rsid w:val="00BA4CAC"/>
    <w:rsid w:val="00BA5201"/>
    <w:rsid w:val="00BB1237"/>
    <w:rsid w:val="00BB4FF7"/>
    <w:rsid w:val="00BB5AC2"/>
    <w:rsid w:val="00BB707D"/>
    <w:rsid w:val="00BC0887"/>
    <w:rsid w:val="00BC4642"/>
    <w:rsid w:val="00BC7807"/>
    <w:rsid w:val="00BE2716"/>
    <w:rsid w:val="00BE3FAB"/>
    <w:rsid w:val="00BE500A"/>
    <w:rsid w:val="00BE5FB1"/>
    <w:rsid w:val="00BF24DA"/>
    <w:rsid w:val="00BF3D6B"/>
    <w:rsid w:val="00BF3FC4"/>
    <w:rsid w:val="00BF4AAC"/>
    <w:rsid w:val="00BF6314"/>
    <w:rsid w:val="00BF6E1F"/>
    <w:rsid w:val="00C01ADD"/>
    <w:rsid w:val="00C02D6F"/>
    <w:rsid w:val="00C06322"/>
    <w:rsid w:val="00C070B9"/>
    <w:rsid w:val="00C07907"/>
    <w:rsid w:val="00C07C31"/>
    <w:rsid w:val="00C10036"/>
    <w:rsid w:val="00C11CAB"/>
    <w:rsid w:val="00C1325B"/>
    <w:rsid w:val="00C140C6"/>
    <w:rsid w:val="00C169E3"/>
    <w:rsid w:val="00C26E2E"/>
    <w:rsid w:val="00C30CF7"/>
    <w:rsid w:val="00C3493D"/>
    <w:rsid w:val="00C35B5B"/>
    <w:rsid w:val="00C42552"/>
    <w:rsid w:val="00C43B10"/>
    <w:rsid w:val="00C442B1"/>
    <w:rsid w:val="00C50F1A"/>
    <w:rsid w:val="00C547D7"/>
    <w:rsid w:val="00C576B1"/>
    <w:rsid w:val="00C63A08"/>
    <w:rsid w:val="00C6610C"/>
    <w:rsid w:val="00C66900"/>
    <w:rsid w:val="00C70083"/>
    <w:rsid w:val="00C7176F"/>
    <w:rsid w:val="00C7232C"/>
    <w:rsid w:val="00C73043"/>
    <w:rsid w:val="00C91804"/>
    <w:rsid w:val="00CA39F3"/>
    <w:rsid w:val="00CA3B41"/>
    <w:rsid w:val="00CA616A"/>
    <w:rsid w:val="00CA7C4D"/>
    <w:rsid w:val="00CB7C75"/>
    <w:rsid w:val="00CC03C1"/>
    <w:rsid w:val="00CC089A"/>
    <w:rsid w:val="00CC1E9F"/>
    <w:rsid w:val="00CD399B"/>
    <w:rsid w:val="00CD4051"/>
    <w:rsid w:val="00CD55E7"/>
    <w:rsid w:val="00CD7169"/>
    <w:rsid w:val="00CF4796"/>
    <w:rsid w:val="00CF4E23"/>
    <w:rsid w:val="00CF6996"/>
    <w:rsid w:val="00D00074"/>
    <w:rsid w:val="00D0388F"/>
    <w:rsid w:val="00D05DEF"/>
    <w:rsid w:val="00D22921"/>
    <w:rsid w:val="00D23853"/>
    <w:rsid w:val="00D3119D"/>
    <w:rsid w:val="00D32E12"/>
    <w:rsid w:val="00D33DB5"/>
    <w:rsid w:val="00D36060"/>
    <w:rsid w:val="00D36CEB"/>
    <w:rsid w:val="00D36D7D"/>
    <w:rsid w:val="00D46767"/>
    <w:rsid w:val="00D52B26"/>
    <w:rsid w:val="00D5533B"/>
    <w:rsid w:val="00D56DD4"/>
    <w:rsid w:val="00D57E16"/>
    <w:rsid w:val="00D60214"/>
    <w:rsid w:val="00D62FF6"/>
    <w:rsid w:val="00D644FC"/>
    <w:rsid w:val="00D67AC2"/>
    <w:rsid w:val="00D7063D"/>
    <w:rsid w:val="00D82E01"/>
    <w:rsid w:val="00D85148"/>
    <w:rsid w:val="00D905EE"/>
    <w:rsid w:val="00D93D3F"/>
    <w:rsid w:val="00D961C8"/>
    <w:rsid w:val="00DA0C6E"/>
    <w:rsid w:val="00DB2495"/>
    <w:rsid w:val="00DB6749"/>
    <w:rsid w:val="00DC25DA"/>
    <w:rsid w:val="00DC6EE8"/>
    <w:rsid w:val="00DE17B1"/>
    <w:rsid w:val="00DE6AE6"/>
    <w:rsid w:val="00DE7A28"/>
    <w:rsid w:val="00DF533C"/>
    <w:rsid w:val="00DF63A9"/>
    <w:rsid w:val="00E00A2F"/>
    <w:rsid w:val="00E02B09"/>
    <w:rsid w:val="00E1792F"/>
    <w:rsid w:val="00E2167C"/>
    <w:rsid w:val="00E2728F"/>
    <w:rsid w:val="00E3159A"/>
    <w:rsid w:val="00E42393"/>
    <w:rsid w:val="00E5153B"/>
    <w:rsid w:val="00E574A1"/>
    <w:rsid w:val="00E6013F"/>
    <w:rsid w:val="00E64FFB"/>
    <w:rsid w:val="00E6781F"/>
    <w:rsid w:val="00E71C03"/>
    <w:rsid w:val="00E73014"/>
    <w:rsid w:val="00E76E47"/>
    <w:rsid w:val="00E85BD9"/>
    <w:rsid w:val="00E86EEF"/>
    <w:rsid w:val="00E92BA9"/>
    <w:rsid w:val="00E9328E"/>
    <w:rsid w:val="00E93765"/>
    <w:rsid w:val="00E94C6C"/>
    <w:rsid w:val="00EA091F"/>
    <w:rsid w:val="00EA227F"/>
    <w:rsid w:val="00EA4AE5"/>
    <w:rsid w:val="00EB3D14"/>
    <w:rsid w:val="00EC2AF7"/>
    <w:rsid w:val="00EC3D59"/>
    <w:rsid w:val="00EC6AFB"/>
    <w:rsid w:val="00ED0751"/>
    <w:rsid w:val="00ED0F3B"/>
    <w:rsid w:val="00EE55F0"/>
    <w:rsid w:val="00EE73E4"/>
    <w:rsid w:val="00EE791A"/>
    <w:rsid w:val="00EF1515"/>
    <w:rsid w:val="00EF419E"/>
    <w:rsid w:val="00EF4E6F"/>
    <w:rsid w:val="00EF6791"/>
    <w:rsid w:val="00EF71CA"/>
    <w:rsid w:val="00F05297"/>
    <w:rsid w:val="00F230A7"/>
    <w:rsid w:val="00F232E1"/>
    <w:rsid w:val="00F27E9E"/>
    <w:rsid w:val="00F337CC"/>
    <w:rsid w:val="00F33FCD"/>
    <w:rsid w:val="00F3409C"/>
    <w:rsid w:val="00F35368"/>
    <w:rsid w:val="00F3665F"/>
    <w:rsid w:val="00F40CCF"/>
    <w:rsid w:val="00F51085"/>
    <w:rsid w:val="00F51D2C"/>
    <w:rsid w:val="00F52379"/>
    <w:rsid w:val="00F57565"/>
    <w:rsid w:val="00F627E2"/>
    <w:rsid w:val="00F67119"/>
    <w:rsid w:val="00F6796D"/>
    <w:rsid w:val="00F70941"/>
    <w:rsid w:val="00F70FA9"/>
    <w:rsid w:val="00F766AF"/>
    <w:rsid w:val="00F76F96"/>
    <w:rsid w:val="00F77E50"/>
    <w:rsid w:val="00F806B4"/>
    <w:rsid w:val="00F80BA5"/>
    <w:rsid w:val="00F81FAE"/>
    <w:rsid w:val="00F947EB"/>
    <w:rsid w:val="00F95BC1"/>
    <w:rsid w:val="00FA1040"/>
    <w:rsid w:val="00FA5D13"/>
    <w:rsid w:val="00FB000E"/>
    <w:rsid w:val="00FB0D93"/>
    <w:rsid w:val="00FC2AB7"/>
    <w:rsid w:val="00FC3474"/>
    <w:rsid w:val="00FC4731"/>
    <w:rsid w:val="00FD217D"/>
    <w:rsid w:val="00FD7ECE"/>
    <w:rsid w:val="00FE49FF"/>
    <w:rsid w:val="00FE74DB"/>
    <w:rsid w:val="00FF482B"/>
    <w:rsid w:val="00FF4969"/>
    <w:rsid w:val="00FF548A"/>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232D63AA"/>
  <w15:docId w15:val="{48A4223B-1DE2-451C-98EE-41FC8FBE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98" w:qFormat="1"/>
    <w:lsdException w:name="heading 1" w:uiPriority="1" w:qFormat="1"/>
    <w:lsdException w:name="heading 2" w:uiPriority="1" w:qFormat="1"/>
    <w:lsdException w:name="heading 3" w:uiPriority="1" w:unhideWhenUsed="1" w:qFormat="1"/>
    <w:lsdException w:name="heading 4" w:uiPriority="34" w:unhideWhenUsed="1" w:qFormat="1"/>
    <w:lsdException w:name="heading 5" w:uiPriority="34" w:unhideWhenUsed="1" w:qFormat="1"/>
    <w:lsdException w:name="heading 6" w:uiPriority="34" w:unhideWhenUsed="1" w:qFormat="1"/>
    <w:lsdException w:name="heading 7" w:uiPriority="34" w:unhideWhenUsed="1" w:qFormat="1"/>
    <w:lsdException w:name="heading 8" w:uiPriority="34" w:unhideWhenUsed="1" w:qFormat="1"/>
    <w:lsdException w:name="heading 9"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3"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41"/>
    <w:lsdException w:name="Salutation" w:semiHidden="1" w:unhideWhenUsed="1"/>
    <w:lsdException w:name="Date" w:semiHidden="1" w:unhideWhenUsed="1"/>
    <w:lsdException w:name="Body Text First Indent" w:uiPriority="3" w:unhideWhenUsed="1" w:qFormat="1"/>
    <w:lsdException w:name="Body Text First Indent 2" w:uiPriority="4" w:unhideWhenUsed="1" w:qFormat="1"/>
    <w:lsdException w:name="Note Heading" w:semiHidden="1" w:unhideWhenUsed="1"/>
    <w:lsdException w:name="Body Text 2" w:uiPriority="2" w:unhideWhenUsed="1" w:qFormat="1"/>
    <w:lsdException w:name="Body Text 3" w:uiPriority="8" w:unhideWhenUsed="1" w:qFormat="1"/>
    <w:lsdException w:name="Body Text Indent 2" w:uiPriority="4" w:unhideWhenUsed="1" w:qFormat="1"/>
    <w:lsdException w:name="Body Text Indent 3" w:uiPriority="8" w:unhideWhenUsed="1" w:qFormat="1"/>
    <w:lsdException w:name="Block Text" w:semiHidden="1" w:unhideWhenUsed="1"/>
    <w:lsdException w:name="Hyperlink" w:semiHidden="1" w:unhideWhenUsed="1"/>
    <w:lsdException w:name="FollowedHyperlink" w:semiHidden="1" w:unhideWhenUsed="1"/>
    <w:lsdException w:name="Strong" w:uiPriority="52"/>
    <w:lsdException w:name="Emphasis" w:uiPriority="5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59"/>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51"/>
    <w:lsdException w:name="Subtle Reference" w:uiPriority="61"/>
    <w:lsdException w:name="Intense Reference" w:semiHidden="1" w:uiPriority="62"/>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D5533B"/>
    <w:rPr>
      <w:lang w:val="en-CA"/>
    </w:rPr>
  </w:style>
  <w:style w:type="paragraph" w:styleId="Heading1">
    <w:name w:val="heading 1"/>
    <w:basedOn w:val="Normal"/>
    <w:next w:val="Normal"/>
    <w:link w:val="Heading1Char"/>
    <w:uiPriority w:val="1"/>
    <w:qFormat/>
    <w:rsid w:val="0057073C"/>
    <w:pPr>
      <w:keepNext/>
      <w:jc w:val="center"/>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1"/>
    <w:qFormat/>
    <w:rsid w:val="009825A9"/>
    <w:pPr>
      <w:keepNext/>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1"/>
    <w:qFormat/>
    <w:rsid w:val="00FD217D"/>
    <w:pPr>
      <w:keepLines/>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34"/>
    <w:semiHidden/>
    <w:qFormat/>
    <w:rsid w:val="0062474D"/>
    <w:pPr>
      <w:keepLines/>
      <w:outlineLvl w:val="3"/>
    </w:pPr>
    <w:rPr>
      <w:rFonts w:asciiTheme="majorHAnsi" w:eastAsiaTheme="majorEastAsia" w:hAnsiTheme="majorHAnsi" w:cstheme="majorBidi"/>
      <w:bCs/>
      <w:iCs/>
      <w:color w:val="0F0F0F" w:themeColor="text1"/>
    </w:rPr>
  </w:style>
  <w:style w:type="paragraph" w:styleId="Heading5">
    <w:name w:val="heading 5"/>
    <w:basedOn w:val="Normal"/>
    <w:next w:val="Normal"/>
    <w:link w:val="Heading5Char"/>
    <w:uiPriority w:val="34"/>
    <w:semiHidden/>
    <w:qFormat/>
    <w:rsid w:val="0062474D"/>
    <w:pPr>
      <w:keepLines/>
      <w:outlineLvl w:val="4"/>
    </w:pPr>
    <w:rPr>
      <w:rFonts w:asciiTheme="majorHAnsi" w:eastAsiaTheme="majorEastAsia" w:hAnsiTheme="majorHAnsi" w:cstheme="majorBidi"/>
      <w:color w:val="0F0F0F" w:themeColor="text1"/>
    </w:rPr>
  </w:style>
  <w:style w:type="paragraph" w:styleId="Heading6">
    <w:name w:val="heading 6"/>
    <w:basedOn w:val="Normal"/>
    <w:next w:val="Normal"/>
    <w:link w:val="Heading6Char"/>
    <w:uiPriority w:val="34"/>
    <w:semiHidden/>
    <w:qFormat/>
    <w:rsid w:val="0062474D"/>
    <w:pPr>
      <w:keepLines/>
      <w:outlineLvl w:val="5"/>
    </w:pPr>
    <w:rPr>
      <w:rFonts w:asciiTheme="majorHAnsi" w:eastAsiaTheme="majorEastAsia" w:hAnsiTheme="majorHAnsi" w:cstheme="majorBidi"/>
      <w:i/>
      <w:iCs/>
      <w:color w:val="0F0F0F" w:themeColor="text1"/>
    </w:rPr>
  </w:style>
  <w:style w:type="paragraph" w:styleId="Heading7">
    <w:name w:val="heading 7"/>
    <w:basedOn w:val="Normal"/>
    <w:next w:val="Normal"/>
    <w:link w:val="Heading7Char"/>
    <w:uiPriority w:val="34"/>
    <w:semiHidden/>
    <w:qFormat/>
    <w:rsid w:val="0062474D"/>
    <w:pPr>
      <w:keepLines/>
      <w:outlineLvl w:val="6"/>
    </w:pPr>
    <w:rPr>
      <w:rFonts w:asciiTheme="majorHAnsi" w:eastAsiaTheme="majorEastAsia" w:hAnsiTheme="majorHAnsi" w:cstheme="majorBidi"/>
      <w:i/>
      <w:iCs/>
      <w:color w:val="0F0F0F" w:themeColor="text1"/>
    </w:rPr>
  </w:style>
  <w:style w:type="paragraph" w:styleId="Heading8">
    <w:name w:val="heading 8"/>
    <w:basedOn w:val="Normal"/>
    <w:next w:val="Normal"/>
    <w:link w:val="Heading8Char"/>
    <w:uiPriority w:val="34"/>
    <w:semiHidden/>
    <w:qFormat/>
    <w:rsid w:val="0062474D"/>
    <w:pPr>
      <w:keepNext/>
      <w:keepLines/>
      <w:outlineLvl w:val="7"/>
    </w:pPr>
    <w:rPr>
      <w:rFonts w:asciiTheme="majorHAnsi" w:eastAsiaTheme="majorEastAsia" w:hAnsiTheme="majorHAnsi" w:cstheme="majorBidi"/>
      <w:color w:val="4B4B4B" w:themeColor="text1" w:themeTint="BF"/>
      <w:sz w:val="20"/>
      <w:szCs w:val="20"/>
    </w:rPr>
  </w:style>
  <w:style w:type="paragraph" w:styleId="Heading9">
    <w:name w:val="heading 9"/>
    <w:basedOn w:val="Normal"/>
    <w:next w:val="Normal"/>
    <w:link w:val="Heading9Char"/>
    <w:uiPriority w:val="34"/>
    <w:semiHidden/>
    <w:qFormat/>
    <w:rsid w:val="0062474D"/>
    <w:pPr>
      <w:keepLines/>
      <w:outlineLvl w:val="8"/>
    </w:pPr>
    <w:rPr>
      <w:rFonts w:asciiTheme="majorHAnsi" w:eastAsiaTheme="majorEastAsia" w:hAnsiTheme="majorHAnsi" w:cstheme="majorBidi"/>
      <w:i/>
      <w:iCs/>
      <w:color w:val="0F0F0F"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kesDocID">
    <w:name w:val="Blakes DocID"/>
    <w:basedOn w:val="Normal"/>
    <w:uiPriority w:val="99"/>
    <w:semiHidden/>
    <w:rsid w:val="00C01ADD"/>
    <w:rPr>
      <w:noProof/>
      <w:sz w:val="16"/>
    </w:rPr>
  </w:style>
  <w:style w:type="paragraph" w:styleId="Header">
    <w:name w:val="header"/>
    <w:basedOn w:val="Normal"/>
    <w:link w:val="HeaderChar"/>
    <w:uiPriority w:val="99"/>
    <w:semiHidden/>
    <w:rsid w:val="0062474D"/>
    <w:pPr>
      <w:tabs>
        <w:tab w:val="center" w:pos="4680"/>
        <w:tab w:val="right" w:pos="9360"/>
      </w:tabs>
    </w:pPr>
  </w:style>
  <w:style w:type="character" w:customStyle="1" w:styleId="HeaderChar">
    <w:name w:val="Header Char"/>
    <w:basedOn w:val="DefaultParagraphFont"/>
    <w:link w:val="Header"/>
    <w:uiPriority w:val="99"/>
    <w:semiHidden/>
    <w:rsid w:val="0062474D"/>
    <w:rPr>
      <w:szCs w:val="21"/>
      <w:lang w:val="en-CA"/>
    </w:rPr>
  </w:style>
  <w:style w:type="paragraph" w:styleId="Footer">
    <w:name w:val="footer"/>
    <w:basedOn w:val="Normal"/>
    <w:link w:val="FooterChar"/>
    <w:uiPriority w:val="99"/>
    <w:rsid w:val="00FE49FF"/>
    <w:pPr>
      <w:tabs>
        <w:tab w:val="center" w:pos="4680"/>
        <w:tab w:val="right" w:pos="9360"/>
      </w:tabs>
      <w:spacing w:before="120" w:after="0"/>
    </w:pPr>
  </w:style>
  <w:style w:type="character" w:customStyle="1" w:styleId="FooterChar">
    <w:name w:val="Footer Char"/>
    <w:basedOn w:val="DefaultParagraphFont"/>
    <w:link w:val="Footer"/>
    <w:uiPriority w:val="99"/>
    <w:rsid w:val="00FE49FF"/>
    <w:rPr>
      <w:lang w:val="en-CA"/>
    </w:rPr>
  </w:style>
  <w:style w:type="table" w:styleId="TableGrid">
    <w:name w:val="Table Grid"/>
    <w:basedOn w:val="TableNormal"/>
    <w:uiPriority w:val="59"/>
    <w:rsid w:val="00950EED"/>
    <w:pPr>
      <w:jc w:val="left"/>
    </w:pPr>
    <w:rPr>
      <w:szCs w:val="2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4333"/>
  </w:style>
  <w:style w:type="character" w:customStyle="1" w:styleId="BodyTextChar">
    <w:name w:val="Body Text Char"/>
    <w:basedOn w:val="DefaultParagraphFont"/>
    <w:link w:val="BodyText"/>
    <w:rsid w:val="00544333"/>
    <w:rPr>
      <w:lang w:val="en-CA"/>
    </w:rPr>
  </w:style>
  <w:style w:type="paragraph" w:styleId="NoSpacing">
    <w:name w:val="No Spacing"/>
    <w:uiPriority w:val="1"/>
    <w:qFormat/>
    <w:rsid w:val="00FD217D"/>
    <w:pPr>
      <w:spacing w:after="0"/>
    </w:pPr>
    <w:rPr>
      <w:szCs w:val="21"/>
    </w:rPr>
  </w:style>
  <w:style w:type="paragraph" w:styleId="ListParagraph">
    <w:name w:val="List Paragraph"/>
    <w:basedOn w:val="Normal"/>
    <w:uiPriority w:val="99"/>
    <w:qFormat/>
    <w:rsid w:val="0062474D"/>
    <w:pPr>
      <w:ind w:left="720"/>
      <w:contextualSpacing/>
    </w:pPr>
  </w:style>
  <w:style w:type="paragraph" w:styleId="BodyText2">
    <w:name w:val="Body Text 2"/>
    <w:aliases w:val="(Double)"/>
    <w:basedOn w:val="BodyText"/>
    <w:link w:val="BodyText2Char"/>
    <w:uiPriority w:val="2"/>
    <w:qFormat/>
    <w:rsid w:val="00950EED"/>
    <w:pPr>
      <w:spacing w:after="480" w:line="480" w:lineRule="auto"/>
      <w:contextualSpacing/>
    </w:pPr>
  </w:style>
  <w:style w:type="character" w:customStyle="1" w:styleId="BodyText2Char">
    <w:name w:val="Body Text 2 Char"/>
    <w:aliases w:val="(Double) Char"/>
    <w:basedOn w:val="DefaultParagraphFont"/>
    <w:link w:val="BodyText2"/>
    <w:uiPriority w:val="2"/>
    <w:rsid w:val="00950EED"/>
  </w:style>
  <w:style w:type="paragraph" w:styleId="Closing">
    <w:name w:val="Closing"/>
    <w:basedOn w:val="Normal"/>
    <w:link w:val="ClosingChar"/>
    <w:uiPriority w:val="99"/>
    <w:semiHidden/>
    <w:unhideWhenUsed/>
    <w:rsid w:val="0062474D"/>
    <w:pPr>
      <w:ind w:left="4320"/>
    </w:pPr>
  </w:style>
  <w:style w:type="character" w:customStyle="1" w:styleId="ClosingChar">
    <w:name w:val="Closing Char"/>
    <w:basedOn w:val="DefaultParagraphFont"/>
    <w:link w:val="Closing"/>
    <w:uiPriority w:val="99"/>
    <w:semiHidden/>
    <w:rsid w:val="0062474D"/>
    <w:rPr>
      <w:szCs w:val="21"/>
      <w:lang w:val="en-CA"/>
    </w:rPr>
  </w:style>
  <w:style w:type="paragraph" w:styleId="BodyText3">
    <w:name w:val="Body Text 3"/>
    <w:aliases w:val="(Font Change)"/>
    <w:basedOn w:val="BodyText"/>
    <w:link w:val="BodyText3Char"/>
    <w:uiPriority w:val="8"/>
    <w:qFormat/>
    <w:rsid w:val="00475DEA"/>
    <w:rPr>
      <w:szCs w:val="16"/>
    </w:rPr>
  </w:style>
  <w:style w:type="character" w:customStyle="1" w:styleId="BodyText3Char">
    <w:name w:val="Body Text 3 Char"/>
    <w:aliases w:val="(Font Change) Char"/>
    <w:basedOn w:val="DefaultParagraphFont"/>
    <w:link w:val="BodyText3"/>
    <w:uiPriority w:val="8"/>
    <w:rsid w:val="00475DEA"/>
    <w:rPr>
      <w:rFonts w:asciiTheme="minorHAnsi" w:hAnsiTheme="minorHAnsi"/>
      <w:szCs w:val="16"/>
    </w:rPr>
  </w:style>
  <w:style w:type="paragraph" w:styleId="BodyTextFirstIndent">
    <w:name w:val="Body Text First Indent"/>
    <w:aliases w:val="(.5&quot;)"/>
    <w:basedOn w:val="BodyText"/>
    <w:link w:val="BodyTextFirstIndentChar"/>
    <w:uiPriority w:val="3"/>
    <w:qFormat/>
    <w:rsid w:val="00FD217D"/>
    <w:pPr>
      <w:ind w:firstLine="720"/>
    </w:pPr>
  </w:style>
  <w:style w:type="character" w:customStyle="1" w:styleId="BodyTextFirstIndentChar">
    <w:name w:val="Body Text First Indent Char"/>
    <w:aliases w:val="(.5&quot;) Char"/>
    <w:basedOn w:val="BodyTextChar"/>
    <w:link w:val="BodyTextFirstIndent"/>
    <w:uiPriority w:val="3"/>
    <w:rsid w:val="00FD217D"/>
    <w:rPr>
      <w:rFonts w:asciiTheme="minorHAnsi" w:hAnsiTheme="minorHAnsi"/>
      <w:lang w:val="en-CA"/>
    </w:rPr>
  </w:style>
  <w:style w:type="paragraph" w:styleId="BodyTextIndent">
    <w:name w:val="Body Text Indent"/>
    <w:aliases w:val="(.5&quot;Left)"/>
    <w:basedOn w:val="BodyText"/>
    <w:link w:val="BodyTextIndentChar"/>
    <w:uiPriority w:val="3"/>
    <w:qFormat/>
    <w:rsid w:val="00950EED"/>
    <w:pPr>
      <w:ind w:left="720"/>
    </w:pPr>
  </w:style>
  <w:style w:type="character" w:customStyle="1" w:styleId="BodyTextIndentChar">
    <w:name w:val="Body Text Indent Char"/>
    <w:aliases w:val="(.5&quot;Left) Char"/>
    <w:basedOn w:val="DefaultParagraphFont"/>
    <w:link w:val="BodyTextIndent"/>
    <w:uiPriority w:val="3"/>
    <w:rsid w:val="00950EED"/>
  </w:style>
  <w:style w:type="paragraph" w:styleId="BodyTextFirstIndent2">
    <w:name w:val="Body Text First Indent 2"/>
    <w:aliases w:val="(1&quot;)"/>
    <w:basedOn w:val="BodyText"/>
    <w:link w:val="BodyTextFirstIndent2Char"/>
    <w:uiPriority w:val="4"/>
    <w:qFormat/>
    <w:rsid w:val="00950EED"/>
    <w:pPr>
      <w:ind w:firstLine="1440"/>
    </w:pPr>
  </w:style>
  <w:style w:type="character" w:customStyle="1" w:styleId="BodyTextFirstIndent2Char">
    <w:name w:val="Body Text First Indent 2 Char"/>
    <w:aliases w:val="(1&quot;) Char"/>
    <w:basedOn w:val="DefaultParagraphFont"/>
    <w:link w:val="BodyTextFirstIndent2"/>
    <w:uiPriority w:val="4"/>
    <w:rsid w:val="00950EED"/>
  </w:style>
  <w:style w:type="paragraph" w:styleId="BodyTextIndent2">
    <w:name w:val="Body Text Indent 2"/>
    <w:aliases w:val="(1&quot;Left)"/>
    <w:basedOn w:val="BodyText"/>
    <w:link w:val="BodyTextIndent2Char"/>
    <w:uiPriority w:val="4"/>
    <w:qFormat/>
    <w:rsid w:val="00950EED"/>
    <w:pPr>
      <w:ind w:left="1440"/>
    </w:pPr>
  </w:style>
  <w:style w:type="character" w:customStyle="1" w:styleId="BodyTextIndent2Char">
    <w:name w:val="Body Text Indent 2 Char"/>
    <w:aliases w:val="(1&quot;Left) Char"/>
    <w:basedOn w:val="DefaultParagraphFont"/>
    <w:link w:val="BodyTextIndent2"/>
    <w:uiPriority w:val="4"/>
    <w:rsid w:val="00950EED"/>
  </w:style>
  <w:style w:type="paragraph" w:styleId="BodyTextIndent3">
    <w:name w:val="Body Text Indent 3"/>
    <w:aliases w:val="(.5&quot;Left,Double)"/>
    <w:basedOn w:val="BodyText"/>
    <w:link w:val="BodyTextIndent3Char"/>
    <w:uiPriority w:val="8"/>
    <w:qFormat/>
    <w:rsid w:val="00950EE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950EED"/>
    <w:rPr>
      <w:szCs w:val="16"/>
    </w:rPr>
  </w:style>
  <w:style w:type="character" w:customStyle="1" w:styleId="Heading1Char">
    <w:name w:val="Heading 1 Char"/>
    <w:basedOn w:val="DefaultParagraphFont"/>
    <w:link w:val="Heading1"/>
    <w:uiPriority w:val="1"/>
    <w:rsid w:val="0057073C"/>
    <w:rPr>
      <w:rFonts w:asciiTheme="majorHAnsi" w:eastAsiaTheme="majorEastAsia" w:hAnsiTheme="majorHAnsi" w:cstheme="majorBidi"/>
      <w:b/>
      <w:bCs/>
      <w:szCs w:val="28"/>
      <w:lang w:val="en-CA"/>
    </w:rPr>
  </w:style>
  <w:style w:type="character" w:customStyle="1" w:styleId="Heading2Char">
    <w:name w:val="Heading 2 Char"/>
    <w:basedOn w:val="DefaultParagraphFont"/>
    <w:link w:val="Heading2"/>
    <w:uiPriority w:val="1"/>
    <w:rsid w:val="009825A9"/>
    <w:rPr>
      <w:rFonts w:asciiTheme="majorHAnsi" w:eastAsiaTheme="majorEastAsia" w:hAnsiTheme="majorHAnsi" w:cstheme="majorBidi"/>
      <w:b/>
      <w:bCs/>
      <w:szCs w:val="26"/>
      <w:lang w:val="en-CA"/>
    </w:rPr>
  </w:style>
  <w:style w:type="character" w:customStyle="1" w:styleId="Heading3Char">
    <w:name w:val="Heading 3 Char"/>
    <w:basedOn w:val="DefaultParagraphFont"/>
    <w:link w:val="Heading3"/>
    <w:uiPriority w:val="1"/>
    <w:rsid w:val="00FD217D"/>
    <w:rPr>
      <w:rFonts w:asciiTheme="majorHAnsi" w:eastAsiaTheme="majorEastAsia" w:hAnsiTheme="majorHAnsi" w:cstheme="majorBidi"/>
      <w:bCs/>
      <w:i/>
    </w:rPr>
  </w:style>
  <w:style w:type="character" w:customStyle="1" w:styleId="Heading4Char">
    <w:name w:val="Heading 4 Char"/>
    <w:basedOn w:val="DefaultParagraphFont"/>
    <w:link w:val="Heading4"/>
    <w:uiPriority w:val="34"/>
    <w:semiHidden/>
    <w:rsid w:val="0062474D"/>
    <w:rPr>
      <w:rFonts w:asciiTheme="majorHAnsi" w:eastAsiaTheme="majorEastAsia" w:hAnsiTheme="majorHAnsi" w:cstheme="majorBidi"/>
      <w:bCs/>
      <w:iCs/>
      <w:color w:val="0F0F0F" w:themeColor="text1"/>
      <w:szCs w:val="21"/>
      <w:lang w:val="en-CA"/>
    </w:rPr>
  </w:style>
  <w:style w:type="character" w:customStyle="1" w:styleId="Heading5Char">
    <w:name w:val="Heading 5 Char"/>
    <w:basedOn w:val="DefaultParagraphFont"/>
    <w:link w:val="Heading5"/>
    <w:uiPriority w:val="34"/>
    <w:semiHidden/>
    <w:rsid w:val="0062474D"/>
    <w:rPr>
      <w:rFonts w:asciiTheme="majorHAnsi" w:eastAsiaTheme="majorEastAsia" w:hAnsiTheme="majorHAnsi" w:cstheme="majorBidi"/>
      <w:color w:val="0F0F0F" w:themeColor="text1"/>
      <w:szCs w:val="21"/>
      <w:lang w:val="en-CA"/>
    </w:rPr>
  </w:style>
  <w:style w:type="character" w:customStyle="1" w:styleId="Heading6Char">
    <w:name w:val="Heading 6 Char"/>
    <w:basedOn w:val="DefaultParagraphFont"/>
    <w:link w:val="Heading6"/>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7Char">
    <w:name w:val="Heading 7 Char"/>
    <w:basedOn w:val="DefaultParagraphFont"/>
    <w:link w:val="Heading7"/>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9Char">
    <w:name w:val="Heading 9 Char"/>
    <w:basedOn w:val="DefaultParagraphFont"/>
    <w:link w:val="Heading9"/>
    <w:uiPriority w:val="34"/>
    <w:semiHidden/>
    <w:rsid w:val="0062474D"/>
    <w:rPr>
      <w:rFonts w:asciiTheme="majorHAnsi" w:eastAsiaTheme="majorEastAsia" w:hAnsiTheme="majorHAnsi" w:cstheme="majorBidi"/>
      <w:i/>
      <w:iCs/>
      <w:color w:val="0F0F0F" w:themeColor="text1"/>
      <w:szCs w:val="20"/>
      <w:lang w:val="en-CA"/>
    </w:rPr>
  </w:style>
  <w:style w:type="character" w:customStyle="1" w:styleId="Heading8Char">
    <w:name w:val="Heading 8 Char"/>
    <w:basedOn w:val="DefaultParagraphFont"/>
    <w:link w:val="Heading8"/>
    <w:uiPriority w:val="34"/>
    <w:semiHidden/>
    <w:rsid w:val="0062474D"/>
    <w:rPr>
      <w:rFonts w:asciiTheme="majorHAnsi" w:eastAsiaTheme="majorEastAsia" w:hAnsiTheme="majorHAnsi" w:cstheme="majorBidi"/>
      <w:color w:val="4B4B4B" w:themeColor="text1" w:themeTint="BF"/>
      <w:sz w:val="20"/>
      <w:szCs w:val="20"/>
      <w:lang w:val="en-CA"/>
    </w:rPr>
  </w:style>
  <w:style w:type="paragraph" w:styleId="Title">
    <w:name w:val="Title"/>
    <w:basedOn w:val="Normal"/>
    <w:next w:val="Normal"/>
    <w:link w:val="TitleChar"/>
    <w:uiPriority w:val="40"/>
    <w:qFormat/>
    <w:rsid w:val="00664C98"/>
    <w:pPr>
      <w:pBdr>
        <w:bottom w:val="single" w:sz="8" w:space="4" w:color="5F6163" w:themeColor="text2" w:themeShade="BF"/>
      </w:pBdr>
      <w:contextualSpacing/>
    </w:pPr>
    <w:rPr>
      <w:rFonts w:asciiTheme="majorHAnsi" w:eastAsiaTheme="majorEastAsia" w:hAnsiTheme="majorHAnsi" w:cstheme="majorBidi"/>
      <w:color w:val="5F6163" w:themeColor="text2" w:themeShade="BF"/>
      <w:spacing w:val="5"/>
      <w:kern w:val="28"/>
      <w:sz w:val="52"/>
      <w:szCs w:val="52"/>
    </w:rPr>
  </w:style>
  <w:style w:type="character" w:customStyle="1" w:styleId="TitleChar">
    <w:name w:val="Title Char"/>
    <w:basedOn w:val="DefaultParagraphFont"/>
    <w:link w:val="Title"/>
    <w:uiPriority w:val="40"/>
    <w:rsid w:val="00664C98"/>
    <w:rPr>
      <w:rFonts w:asciiTheme="majorHAnsi" w:eastAsiaTheme="majorEastAsia" w:hAnsiTheme="majorHAnsi" w:cstheme="majorBidi"/>
      <w:color w:val="5F6163" w:themeColor="text2" w:themeShade="BF"/>
      <w:spacing w:val="5"/>
      <w:kern w:val="28"/>
      <w:sz w:val="52"/>
      <w:szCs w:val="52"/>
      <w:lang w:val="en-CA"/>
    </w:rPr>
  </w:style>
  <w:style w:type="paragraph" w:styleId="Caption">
    <w:name w:val="caption"/>
    <w:basedOn w:val="Normal"/>
    <w:next w:val="Normal"/>
    <w:uiPriority w:val="35"/>
    <w:semiHidden/>
    <w:unhideWhenUsed/>
    <w:qFormat/>
    <w:rsid w:val="0062474D"/>
    <w:pPr>
      <w:jc w:val="center"/>
    </w:pPr>
    <w:rPr>
      <w:b/>
      <w:bCs/>
      <w:sz w:val="18"/>
      <w:szCs w:val="18"/>
    </w:rPr>
  </w:style>
  <w:style w:type="paragraph" w:styleId="FootnoteText">
    <w:name w:val="footnote text"/>
    <w:basedOn w:val="Normal"/>
    <w:link w:val="FootnoteTextChar"/>
    <w:uiPriority w:val="99"/>
    <w:semiHidden/>
    <w:rsid w:val="00EC6AFB"/>
    <w:pPr>
      <w:spacing w:after="60"/>
    </w:pPr>
    <w:rPr>
      <w:sz w:val="20"/>
      <w:szCs w:val="20"/>
    </w:rPr>
  </w:style>
  <w:style w:type="character" w:customStyle="1" w:styleId="FootnoteTextChar">
    <w:name w:val="Footnote Text Char"/>
    <w:basedOn w:val="DefaultParagraphFont"/>
    <w:link w:val="FootnoteText"/>
    <w:uiPriority w:val="99"/>
    <w:semiHidden/>
    <w:rsid w:val="00EC6AFB"/>
    <w:rPr>
      <w:sz w:val="20"/>
      <w:szCs w:val="20"/>
      <w:lang w:val="en-CA"/>
    </w:rPr>
  </w:style>
  <w:style w:type="character" w:styleId="BookTitle">
    <w:name w:val="Book Title"/>
    <w:basedOn w:val="DefaultParagraphFont"/>
    <w:uiPriority w:val="99"/>
    <w:semiHidden/>
    <w:qFormat/>
    <w:rsid w:val="0062474D"/>
    <w:rPr>
      <w:b/>
      <w:bCs/>
      <w:smallCaps/>
      <w:spacing w:val="5"/>
    </w:rPr>
  </w:style>
  <w:style w:type="paragraph" w:styleId="TOCHeading">
    <w:name w:val="TOC Heading"/>
    <w:basedOn w:val="Heading1"/>
    <w:next w:val="Normal"/>
    <w:uiPriority w:val="39"/>
    <w:semiHidden/>
    <w:unhideWhenUsed/>
    <w:qFormat/>
    <w:rsid w:val="00664C98"/>
    <w:pPr>
      <w:spacing w:before="480" w:after="0"/>
      <w:outlineLvl w:val="9"/>
    </w:pPr>
  </w:style>
  <w:style w:type="paragraph" w:styleId="BalloonText">
    <w:name w:val="Balloon Text"/>
    <w:basedOn w:val="Normal"/>
    <w:link w:val="BalloonTextChar"/>
    <w:uiPriority w:val="99"/>
    <w:semiHidden/>
    <w:rsid w:val="005F7C3C"/>
    <w:pPr>
      <w:spacing w:after="0"/>
    </w:pPr>
    <w:rPr>
      <w:rFonts w:ascii="Tahoma" w:hAnsi="Tahoma" w:cs="Tahoma"/>
      <w:sz w:val="16"/>
      <w:szCs w:val="16"/>
    </w:rPr>
  </w:style>
  <w:style w:type="paragraph" w:styleId="BlockText">
    <w:name w:val="Block Text"/>
    <w:basedOn w:val="Normal"/>
    <w:uiPriority w:val="99"/>
    <w:unhideWhenUsed/>
    <w:rsid w:val="00FD217D"/>
    <w:pPr>
      <w:ind w:left="1440" w:right="1440"/>
    </w:pPr>
    <w:rPr>
      <w:rFonts w:eastAsiaTheme="minorEastAsia"/>
      <w:i/>
      <w:iCs/>
    </w:rPr>
  </w:style>
  <w:style w:type="paragraph" w:styleId="Subtitle">
    <w:name w:val="Subtitle"/>
    <w:basedOn w:val="Normal"/>
    <w:next w:val="Normal"/>
    <w:link w:val="SubtitleChar"/>
    <w:uiPriority w:val="41"/>
    <w:semiHidden/>
    <w:rsid w:val="00475DEA"/>
    <w:pPr>
      <w:numPr>
        <w:ilvl w:val="1"/>
      </w:numPr>
    </w:pPr>
    <w:rPr>
      <w:rFonts w:asciiTheme="majorHAnsi" w:eastAsiaTheme="majorEastAsia" w:hAnsiTheme="majorHAnsi" w:cstheme="majorBidi"/>
      <w:i/>
      <w:iCs/>
      <w:szCs w:val="24"/>
    </w:rPr>
  </w:style>
  <w:style w:type="character" w:customStyle="1" w:styleId="SubtitleChar">
    <w:name w:val="Subtitle Char"/>
    <w:basedOn w:val="DefaultParagraphFont"/>
    <w:link w:val="Subtitle"/>
    <w:uiPriority w:val="41"/>
    <w:semiHidden/>
    <w:rsid w:val="00475DEA"/>
    <w:rPr>
      <w:rFonts w:asciiTheme="majorHAnsi" w:eastAsiaTheme="majorEastAsia" w:hAnsiTheme="majorHAnsi" w:cstheme="majorBidi"/>
      <w:i/>
      <w:iCs/>
      <w:szCs w:val="24"/>
    </w:rPr>
  </w:style>
  <w:style w:type="character" w:styleId="IntenseEmphasis">
    <w:name w:val="Intense Emphasis"/>
    <w:basedOn w:val="DefaultParagraphFont"/>
    <w:uiPriority w:val="51"/>
    <w:semiHidden/>
    <w:rsid w:val="00475DEA"/>
    <w:rPr>
      <w:b/>
      <w:bCs/>
      <w:i/>
      <w:iCs/>
      <w:color w:val="auto"/>
    </w:rPr>
  </w:style>
  <w:style w:type="character" w:customStyle="1" w:styleId="BalloonTextChar">
    <w:name w:val="Balloon Text Char"/>
    <w:basedOn w:val="DefaultParagraphFont"/>
    <w:link w:val="BalloonText"/>
    <w:uiPriority w:val="99"/>
    <w:semiHidden/>
    <w:rsid w:val="005F7C3C"/>
    <w:rPr>
      <w:rFonts w:ascii="Tahoma" w:hAnsi="Tahoma" w:cs="Tahoma"/>
      <w:sz w:val="16"/>
      <w:szCs w:val="16"/>
    </w:rPr>
  </w:style>
  <w:style w:type="paragraph" w:styleId="EndnoteText">
    <w:name w:val="endnote text"/>
    <w:basedOn w:val="Normal"/>
    <w:link w:val="EndnoteTextChar"/>
    <w:uiPriority w:val="99"/>
    <w:semiHidden/>
    <w:rsid w:val="00664C98"/>
    <w:pPr>
      <w:spacing w:after="0"/>
    </w:pPr>
    <w:rPr>
      <w:sz w:val="20"/>
      <w:szCs w:val="20"/>
    </w:rPr>
  </w:style>
  <w:style w:type="paragraph" w:styleId="IntenseQuote">
    <w:name w:val="Intense Quote"/>
    <w:basedOn w:val="Normal"/>
    <w:next w:val="Normal"/>
    <w:link w:val="IntenseQuoteChar"/>
    <w:uiPriority w:val="60"/>
    <w:semiHidden/>
    <w:rsid w:val="00664C98"/>
    <w:pPr>
      <w:pBdr>
        <w:bottom w:val="single" w:sz="4" w:space="4" w:color="5F6163"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semiHidden/>
    <w:rsid w:val="00664C98"/>
    <w:rPr>
      <w:b/>
      <w:bCs/>
      <w:i/>
      <w:iCs/>
      <w:lang w:val="en-CA"/>
    </w:rPr>
  </w:style>
  <w:style w:type="character" w:customStyle="1" w:styleId="EndnoteTextChar">
    <w:name w:val="Endnote Text Char"/>
    <w:basedOn w:val="DefaultParagraphFont"/>
    <w:link w:val="EndnoteText"/>
    <w:uiPriority w:val="99"/>
    <w:semiHidden/>
    <w:rsid w:val="00664C98"/>
    <w:rPr>
      <w:sz w:val="20"/>
      <w:szCs w:val="20"/>
      <w:lang w:val="en-CA"/>
    </w:rPr>
  </w:style>
  <w:style w:type="character" w:styleId="EndnoteReference">
    <w:name w:val="endnote reference"/>
    <w:basedOn w:val="DefaultParagraphFont"/>
    <w:uiPriority w:val="99"/>
    <w:semiHidden/>
    <w:rsid w:val="00664C98"/>
    <w:rPr>
      <w:vertAlign w:val="superscript"/>
    </w:rPr>
  </w:style>
  <w:style w:type="character" w:styleId="FootnoteReference">
    <w:name w:val="footnote reference"/>
    <w:basedOn w:val="DefaultParagraphFont"/>
    <w:uiPriority w:val="99"/>
    <w:semiHidden/>
    <w:rsid w:val="00EC6AFB"/>
    <w:rPr>
      <w:vertAlign w:val="superscript"/>
    </w:rPr>
  </w:style>
  <w:style w:type="character" w:styleId="Hyperlink">
    <w:name w:val="Hyperlink"/>
    <w:basedOn w:val="DefaultParagraphFont"/>
    <w:uiPriority w:val="99"/>
    <w:unhideWhenUsed/>
    <w:rsid w:val="009825A9"/>
    <w:rPr>
      <w:color w:val="0000FF" w:themeColor="hyperlink"/>
      <w:u w:val="single"/>
    </w:rPr>
  </w:style>
  <w:style w:type="character" w:customStyle="1" w:styleId="UnresolvedMention1">
    <w:name w:val="Unresolved Mention1"/>
    <w:basedOn w:val="DefaultParagraphFont"/>
    <w:uiPriority w:val="99"/>
    <w:semiHidden/>
    <w:unhideWhenUsed/>
    <w:rsid w:val="009825A9"/>
    <w:rPr>
      <w:color w:val="605E5C"/>
      <w:shd w:val="clear" w:color="auto" w:fill="E1DFDD"/>
    </w:rPr>
  </w:style>
  <w:style w:type="paragraph" w:styleId="TOC1">
    <w:name w:val="toc 1"/>
    <w:basedOn w:val="Normal"/>
    <w:next w:val="Normal"/>
    <w:autoRedefine/>
    <w:uiPriority w:val="39"/>
    <w:unhideWhenUsed/>
    <w:rsid w:val="00F40CCF"/>
    <w:pPr>
      <w:spacing w:after="100"/>
      <w:jc w:val="left"/>
    </w:pPr>
    <w:rPr>
      <w:b/>
    </w:rPr>
  </w:style>
  <w:style w:type="paragraph" w:styleId="TOC2">
    <w:name w:val="toc 2"/>
    <w:basedOn w:val="Normal"/>
    <w:next w:val="Normal"/>
    <w:autoRedefine/>
    <w:uiPriority w:val="39"/>
    <w:unhideWhenUsed/>
    <w:rsid w:val="00F40CCF"/>
    <w:pPr>
      <w:spacing w:after="100"/>
      <w:ind w:left="720"/>
      <w:jc w:val="left"/>
    </w:pPr>
  </w:style>
  <w:style w:type="paragraph" w:styleId="TOC3">
    <w:name w:val="toc 3"/>
    <w:basedOn w:val="Normal"/>
    <w:next w:val="Normal"/>
    <w:autoRedefine/>
    <w:uiPriority w:val="39"/>
    <w:semiHidden/>
    <w:unhideWhenUsed/>
    <w:rsid w:val="00F40CCF"/>
    <w:pPr>
      <w:spacing w:after="100"/>
      <w:ind w:left="440"/>
      <w:jc w:val="left"/>
    </w:pPr>
  </w:style>
  <w:style w:type="paragraph" w:styleId="TOC4">
    <w:name w:val="toc 4"/>
    <w:basedOn w:val="Normal"/>
    <w:next w:val="Normal"/>
    <w:autoRedefine/>
    <w:uiPriority w:val="39"/>
    <w:semiHidden/>
    <w:unhideWhenUsed/>
    <w:rsid w:val="00F40CCF"/>
    <w:pPr>
      <w:spacing w:after="100"/>
      <w:ind w:left="660"/>
      <w:jc w:val="left"/>
    </w:pPr>
  </w:style>
  <w:style w:type="paragraph" w:styleId="TOC5">
    <w:name w:val="toc 5"/>
    <w:basedOn w:val="Normal"/>
    <w:next w:val="Normal"/>
    <w:autoRedefine/>
    <w:uiPriority w:val="39"/>
    <w:semiHidden/>
    <w:unhideWhenUsed/>
    <w:rsid w:val="00F40CCF"/>
    <w:pPr>
      <w:spacing w:after="100"/>
      <w:ind w:left="880"/>
      <w:jc w:val="left"/>
    </w:pPr>
  </w:style>
  <w:style w:type="paragraph" w:styleId="TOC6">
    <w:name w:val="toc 6"/>
    <w:basedOn w:val="Normal"/>
    <w:next w:val="Normal"/>
    <w:autoRedefine/>
    <w:uiPriority w:val="39"/>
    <w:semiHidden/>
    <w:unhideWhenUsed/>
    <w:rsid w:val="00F40CCF"/>
    <w:pPr>
      <w:spacing w:after="100"/>
      <w:ind w:left="1100"/>
      <w:jc w:val="left"/>
    </w:pPr>
  </w:style>
  <w:style w:type="paragraph" w:styleId="TOC7">
    <w:name w:val="toc 7"/>
    <w:basedOn w:val="Normal"/>
    <w:next w:val="Normal"/>
    <w:autoRedefine/>
    <w:uiPriority w:val="39"/>
    <w:semiHidden/>
    <w:unhideWhenUsed/>
    <w:rsid w:val="00F40CCF"/>
    <w:pPr>
      <w:spacing w:after="100"/>
      <w:ind w:left="1320"/>
      <w:jc w:val="left"/>
    </w:pPr>
  </w:style>
  <w:style w:type="paragraph" w:styleId="TOC8">
    <w:name w:val="toc 8"/>
    <w:basedOn w:val="Normal"/>
    <w:next w:val="Normal"/>
    <w:autoRedefine/>
    <w:uiPriority w:val="39"/>
    <w:semiHidden/>
    <w:unhideWhenUsed/>
    <w:rsid w:val="00F40CCF"/>
    <w:pPr>
      <w:spacing w:after="100"/>
      <w:ind w:left="1540"/>
      <w:jc w:val="left"/>
    </w:pPr>
  </w:style>
  <w:style w:type="paragraph" w:styleId="TOC9">
    <w:name w:val="toc 9"/>
    <w:basedOn w:val="Normal"/>
    <w:next w:val="Normal"/>
    <w:autoRedefine/>
    <w:uiPriority w:val="39"/>
    <w:semiHidden/>
    <w:unhideWhenUsed/>
    <w:rsid w:val="00F40CCF"/>
    <w:pPr>
      <w:spacing w:after="100"/>
      <w:ind w:left="1760"/>
      <w:jc w:val="left"/>
    </w:pPr>
  </w:style>
  <w:style w:type="character" w:styleId="UnresolvedMention">
    <w:name w:val="Unresolved Mention"/>
    <w:basedOn w:val="DefaultParagraphFont"/>
    <w:uiPriority w:val="99"/>
    <w:semiHidden/>
    <w:unhideWhenUsed/>
    <w:rsid w:val="00E92BA9"/>
    <w:rPr>
      <w:color w:val="605E5C"/>
      <w:shd w:val="clear" w:color="auto" w:fill="E1DFDD"/>
    </w:rPr>
  </w:style>
  <w:style w:type="paragraph" w:customStyle="1" w:styleId="ProspectusL1">
    <w:name w:val="Prospectus_L1"/>
    <w:basedOn w:val="Normal"/>
    <w:next w:val="Normal"/>
    <w:uiPriority w:val="99"/>
    <w:rsid w:val="00D5533B"/>
    <w:pPr>
      <w:keepNext/>
      <w:keepLines/>
      <w:numPr>
        <w:numId w:val="11"/>
      </w:numPr>
      <w:jc w:val="left"/>
      <w:outlineLvl w:val="0"/>
    </w:pPr>
    <w:rPr>
      <w:rFonts w:ascii="Arial" w:eastAsia="Times New Roman" w:hAnsi="Arial" w:cs="Arial"/>
      <w:b/>
      <w:sz w:val="24"/>
      <w:szCs w:val="20"/>
      <w:lang w:val="en-US"/>
    </w:rPr>
  </w:style>
  <w:style w:type="paragraph" w:customStyle="1" w:styleId="ProspectusL2">
    <w:name w:val="Prospectus_L2"/>
    <w:basedOn w:val="ProspectusL1"/>
    <w:next w:val="Normal"/>
    <w:uiPriority w:val="99"/>
    <w:rsid w:val="00D5533B"/>
    <w:pPr>
      <w:numPr>
        <w:ilvl w:val="1"/>
      </w:numPr>
      <w:jc w:val="both"/>
      <w:outlineLvl w:val="1"/>
    </w:pPr>
    <w:rPr>
      <w:b w:val="0"/>
      <w:i/>
      <w:sz w:val="22"/>
    </w:rPr>
  </w:style>
  <w:style w:type="paragraph" w:customStyle="1" w:styleId="ProspectusL3">
    <w:name w:val="Prospectus_L3"/>
    <w:basedOn w:val="ProspectusL2"/>
    <w:next w:val="Normal"/>
    <w:uiPriority w:val="99"/>
    <w:rsid w:val="00D5533B"/>
    <w:pPr>
      <w:numPr>
        <w:ilvl w:val="2"/>
      </w:numPr>
      <w:outlineLvl w:val="2"/>
    </w:pPr>
    <w:rPr>
      <w:b/>
      <w:i w:val="0"/>
    </w:rPr>
  </w:style>
  <w:style w:type="paragraph" w:customStyle="1" w:styleId="ProspectusL4">
    <w:name w:val="Prospectus_L4"/>
    <w:basedOn w:val="ProspectusL3"/>
    <w:next w:val="Normal"/>
    <w:uiPriority w:val="99"/>
    <w:rsid w:val="00D5533B"/>
    <w:pPr>
      <w:numPr>
        <w:ilvl w:val="3"/>
      </w:numPr>
      <w:jc w:val="left"/>
      <w:outlineLvl w:val="3"/>
    </w:pPr>
  </w:style>
  <w:style w:type="paragraph" w:customStyle="1" w:styleId="ProspectusL5">
    <w:name w:val="Prospectus_L5"/>
    <w:basedOn w:val="ProspectusL4"/>
    <w:uiPriority w:val="99"/>
    <w:rsid w:val="00D5533B"/>
    <w:pPr>
      <w:keepNext w:val="0"/>
      <w:keepLines w:val="0"/>
      <w:numPr>
        <w:ilvl w:val="4"/>
      </w:numPr>
      <w:jc w:val="both"/>
      <w:outlineLvl w:val="4"/>
    </w:pPr>
    <w:rPr>
      <w:b w:val="0"/>
      <w:sz w:val="20"/>
    </w:rPr>
  </w:style>
  <w:style w:type="paragraph" w:customStyle="1" w:styleId="ProspectusL6">
    <w:name w:val="Prospectus_L6"/>
    <w:basedOn w:val="ProspectusL5"/>
    <w:uiPriority w:val="99"/>
    <w:rsid w:val="00D5533B"/>
    <w:pPr>
      <w:numPr>
        <w:ilvl w:val="5"/>
      </w:numPr>
      <w:outlineLvl w:val="5"/>
    </w:pPr>
  </w:style>
  <w:style w:type="paragraph" w:customStyle="1" w:styleId="ProspectusL7">
    <w:name w:val="Prospectus_L7"/>
    <w:basedOn w:val="ProspectusL6"/>
    <w:uiPriority w:val="99"/>
    <w:rsid w:val="00D5533B"/>
    <w:pPr>
      <w:numPr>
        <w:ilvl w:val="6"/>
      </w:numPr>
      <w:outlineLvl w:val="6"/>
    </w:pPr>
  </w:style>
  <w:style w:type="paragraph" w:customStyle="1" w:styleId="ProspectusL8">
    <w:name w:val="Prospectus_L8"/>
    <w:basedOn w:val="ProspectusL7"/>
    <w:uiPriority w:val="99"/>
    <w:rsid w:val="00D5533B"/>
    <w:pPr>
      <w:numPr>
        <w:ilvl w:val="7"/>
      </w:numPr>
      <w:outlineLvl w:val="7"/>
    </w:pPr>
    <w:rPr>
      <w:sz w:val="22"/>
    </w:rPr>
  </w:style>
  <w:style w:type="paragraph" w:customStyle="1" w:styleId="ProspectusL9">
    <w:name w:val="Prospectus_L9"/>
    <w:basedOn w:val="ProspectusL8"/>
    <w:uiPriority w:val="99"/>
    <w:rsid w:val="00D5533B"/>
    <w:pPr>
      <w:numPr>
        <w:ilvl w:val="8"/>
      </w:numPr>
      <w:outlineLvl w:val="8"/>
    </w:pPr>
    <w:rPr>
      <w:sz w:val="20"/>
    </w:rPr>
  </w:style>
  <w:style w:type="paragraph" w:customStyle="1" w:styleId="TableHead">
    <w:name w:val="TableHead"/>
    <w:aliases w:val="ORTableHeading,TH"/>
    <w:basedOn w:val="Normal"/>
    <w:rsid w:val="00D5533B"/>
    <w:pPr>
      <w:keepNext/>
      <w:keepLines/>
      <w:spacing w:after="0"/>
      <w:jc w:val="center"/>
    </w:pPr>
    <w:rPr>
      <w:rFonts w:ascii="Arial" w:eastAsia="Times New Roman" w:hAnsi="Arial" w:cs="Times New Roman"/>
      <w:b/>
      <w:sz w:val="20"/>
      <w:szCs w:val="20"/>
      <w:lang w:val="en-US"/>
    </w:rPr>
  </w:style>
  <w:style w:type="paragraph" w:customStyle="1" w:styleId="TableText">
    <w:name w:val="TableText"/>
    <w:aliases w:val="ORTableText,TT"/>
    <w:basedOn w:val="Normal"/>
    <w:rsid w:val="00D5533B"/>
    <w:pPr>
      <w:spacing w:after="0"/>
      <w:jc w:val="left"/>
    </w:pPr>
    <w:rPr>
      <w:rFonts w:ascii="Arial" w:eastAsia="Times New Roman" w:hAnsi="Arial" w:cs="Times New Roman"/>
      <w:sz w:val="20"/>
      <w:szCs w:val="20"/>
      <w:lang w:val="en-US"/>
    </w:rPr>
  </w:style>
  <w:style w:type="paragraph" w:customStyle="1" w:styleId="Bullet9">
    <w:name w:val="Bullet 9"/>
    <w:basedOn w:val="Normal"/>
    <w:uiPriority w:val="11"/>
    <w:semiHidden/>
    <w:rsid w:val="00C10036"/>
    <w:pPr>
      <w:numPr>
        <w:ilvl w:val="8"/>
        <w:numId w:val="18"/>
      </w:numPr>
      <w:outlineLvl w:val="8"/>
    </w:pPr>
    <w:rPr>
      <w:rFonts w:ascii="Times New Roman" w:hAnsi="Times New Roman" w:cs="Times New Roman"/>
      <w:sz w:val="24"/>
      <w:szCs w:val="21"/>
    </w:rPr>
  </w:style>
  <w:style w:type="paragraph" w:customStyle="1" w:styleId="Bullet8">
    <w:name w:val="Bullet 8"/>
    <w:basedOn w:val="Normal"/>
    <w:uiPriority w:val="11"/>
    <w:semiHidden/>
    <w:rsid w:val="00C10036"/>
    <w:pPr>
      <w:numPr>
        <w:ilvl w:val="7"/>
        <w:numId w:val="18"/>
      </w:numPr>
      <w:outlineLvl w:val="7"/>
    </w:pPr>
    <w:rPr>
      <w:rFonts w:ascii="Times New Roman" w:hAnsi="Times New Roman" w:cs="Times New Roman"/>
      <w:sz w:val="24"/>
      <w:szCs w:val="21"/>
    </w:rPr>
  </w:style>
  <w:style w:type="paragraph" w:customStyle="1" w:styleId="Bullet7">
    <w:name w:val="Bullet 7"/>
    <w:basedOn w:val="Normal"/>
    <w:uiPriority w:val="11"/>
    <w:semiHidden/>
    <w:rsid w:val="00C10036"/>
    <w:pPr>
      <w:numPr>
        <w:ilvl w:val="6"/>
        <w:numId w:val="18"/>
      </w:numPr>
      <w:outlineLvl w:val="6"/>
    </w:pPr>
    <w:rPr>
      <w:rFonts w:ascii="Times New Roman" w:hAnsi="Times New Roman" w:cs="Times New Roman"/>
      <w:sz w:val="24"/>
      <w:szCs w:val="21"/>
    </w:rPr>
  </w:style>
  <w:style w:type="paragraph" w:customStyle="1" w:styleId="Bullet6">
    <w:name w:val="Bullet 6"/>
    <w:basedOn w:val="Normal"/>
    <w:uiPriority w:val="11"/>
    <w:semiHidden/>
    <w:rsid w:val="00C10036"/>
    <w:pPr>
      <w:numPr>
        <w:ilvl w:val="5"/>
        <w:numId w:val="18"/>
      </w:numPr>
      <w:outlineLvl w:val="5"/>
    </w:pPr>
    <w:rPr>
      <w:rFonts w:ascii="Times New Roman" w:hAnsi="Times New Roman" w:cs="Times New Roman"/>
      <w:sz w:val="24"/>
      <w:szCs w:val="21"/>
    </w:rPr>
  </w:style>
  <w:style w:type="paragraph" w:customStyle="1" w:styleId="Bullet5">
    <w:name w:val="Bullet 5"/>
    <w:basedOn w:val="Normal"/>
    <w:uiPriority w:val="11"/>
    <w:semiHidden/>
    <w:rsid w:val="00C10036"/>
    <w:pPr>
      <w:numPr>
        <w:ilvl w:val="4"/>
        <w:numId w:val="18"/>
      </w:numPr>
      <w:outlineLvl w:val="4"/>
    </w:pPr>
    <w:rPr>
      <w:rFonts w:ascii="Times New Roman" w:hAnsi="Times New Roman" w:cs="Times New Roman"/>
      <w:sz w:val="24"/>
      <w:szCs w:val="21"/>
    </w:rPr>
  </w:style>
  <w:style w:type="paragraph" w:customStyle="1" w:styleId="Bullet4">
    <w:name w:val="Bullet 4"/>
    <w:basedOn w:val="Normal"/>
    <w:uiPriority w:val="11"/>
    <w:semiHidden/>
    <w:rsid w:val="00C10036"/>
    <w:pPr>
      <w:numPr>
        <w:ilvl w:val="3"/>
        <w:numId w:val="18"/>
      </w:numPr>
    </w:pPr>
    <w:rPr>
      <w:rFonts w:cs="Times New Roman"/>
      <w:sz w:val="21"/>
      <w:szCs w:val="21"/>
    </w:rPr>
  </w:style>
  <w:style w:type="paragraph" w:customStyle="1" w:styleId="Bullet3">
    <w:name w:val="Bullet 3"/>
    <w:basedOn w:val="Normal"/>
    <w:uiPriority w:val="11"/>
    <w:rsid w:val="00C10036"/>
    <w:pPr>
      <w:numPr>
        <w:ilvl w:val="2"/>
        <w:numId w:val="18"/>
      </w:numPr>
    </w:pPr>
    <w:rPr>
      <w:rFonts w:cs="Times New Roman"/>
      <w:sz w:val="21"/>
      <w:szCs w:val="21"/>
    </w:rPr>
  </w:style>
  <w:style w:type="paragraph" w:customStyle="1" w:styleId="Bullet2">
    <w:name w:val="Bullet 2"/>
    <w:basedOn w:val="Normal"/>
    <w:uiPriority w:val="11"/>
    <w:rsid w:val="00C10036"/>
    <w:pPr>
      <w:numPr>
        <w:ilvl w:val="1"/>
        <w:numId w:val="18"/>
      </w:numPr>
    </w:pPr>
    <w:rPr>
      <w:rFonts w:cs="Times New Roman"/>
      <w:sz w:val="21"/>
      <w:szCs w:val="21"/>
    </w:rPr>
  </w:style>
  <w:style w:type="paragraph" w:customStyle="1" w:styleId="Bullet1">
    <w:name w:val="Bullet 1"/>
    <w:basedOn w:val="Normal"/>
    <w:link w:val="Bullet1Char"/>
    <w:uiPriority w:val="11"/>
    <w:qFormat/>
    <w:rsid w:val="00C10036"/>
    <w:pPr>
      <w:numPr>
        <w:numId w:val="18"/>
      </w:numPr>
    </w:pPr>
    <w:rPr>
      <w:rFonts w:cs="Times New Roman"/>
      <w:sz w:val="21"/>
      <w:szCs w:val="21"/>
    </w:rPr>
  </w:style>
  <w:style w:type="character" w:customStyle="1" w:styleId="Bullet1Char">
    <w:name w:val="Bullet 1 Char"/>
    <w:basedOn w:val="BodyTextChar"/>
    <w:link w:val="Bullet1"/>
    <w:uiPriority w:val="11"/>
    <w:rsid w:val="00C10036"/>
    <w:rPr>
      <w:rFonts w:cs="Times New Roman"/>
      <w:sz w:val="21"/>
      <w:szCs w:val="21"/>
      <w:lang w:val="en-CA"/>
    </w:rPr>
  </w:style>
  <w:style w:type="paragraph" w:customStyle="1" w:styleId="Number9">
    <w:name w:val="Number 9"/>
    <w:basedOn w:val="Normal"/>
    <w:uiPriority w:val="11"/>
    <w:semiHidden/>
    <w:rsid w:val="00C10036"/>
    <w:pPr>
      <w:numPr>
        <w:ilvl w:val="8"/>
        <w:numId w:val="20"/>
      </w:numPr>
      <w:jc w:val="left"/>
      <w:outlineLvl w:val="8"/>
    </w:pPr>
    <w:rPr>
      <w:rFonts w:ascii="Times New Roman" w:hAnsi="Times New Roman" w:cs="Times New Roman"/>
      <w:sz w:val="24"/>
      <w:szCs w:val="21"/>
    </w:rPr>
  </w:style>
  <w:style w:type="paragraph" w:customStyle="1" w:styleId="Number8">
    <w:name w:val="Number 8"/>
    <w:basedOn w:val="Normal"/>
    <w:uiPriority w:val="11"/>
    <w:semiHidden/>
    <w:rsid w:val="00C10036"/>
    <w:pPr>
      <w:numPr>
        <w:ilvl w:val="7"/>
        <w:numId w:val="20"/>
      </w:numPr>
      <w:jc w:val="left"/>
      <w:outlineLvl w:val="7"/>
    </w:pPr>
    <w:rPr>
      <w:rFonts w:ascii="Times New Roman" w:hAnsi="Times New Roman" w:cs="Times New Roman"/>
      <w:sz w:val="24"/>
      <w:szCs w:val="21"/>
    </w:rPr>
  </w:style>
  <w:style w:type="paragraph" w:customStyle="1" w:styleId="Number7">
    <w:name w:val="Number 7"/>
    <w:basedOn w:val="Normal"/>
    <w:uiPriority w:val="11"/>
    <w:semiHidden/>
    <w:rsid w:val="00C10036"/>
    <w:pPr>
      <w:numPr>
        <w:ilvl w:val="6"/>
        <w:numId w:val="20"/>
      </w:numPr>
      <w:jc w:val="left"/>
      <w:outlineLvl w:val="6"/>
    </w:pPr>
    <w:rPr>
      <w:rFonts w:ascii="Times New Roman" w:hAnsi="Times New Roman" w:cs="Times New Roman"/>
      <w:sz w:val="24"/>
      <w:szCs w:val="21"/>
    </w:rPr>
  </w:style>
  <w:style w:type="paragraph" w:customStyle="1" w:styleId="Number6">
    <w:name w:val="Number 6"/>
    <w:basedOn w:val="Normal"/>
    <w:uiPriority w:val="11"/>
    <w:semiHidden/>
    <w:rsid w:val="00C10036"/>
    <w:pPr>
      <w:numPr>
        <w:ilvl w:val="5"/>
        <w:numId w:val="20"/>
      </w:numPr>
      <w:jc w:val="left"/>
      <w:outlineLvl w:val="5"/>
    </w:pPr>
    <w:rPr>
      <w:rFonts w:ascii="Times New Roman" w:hAnsi="Times New Roman" w:cs="Times New Roman"/>
      <w:sz w:val="24"/>
      <w:szCs w:val="21"/>
    </w:rPr>
  </w:style>
  <w:style w:type="paragraph" w:customStyle="1" w:styleId="Number5">
    <w:name w:val="Number 5"/>
    <w:basedOn w:val="Normal"/>
    <w:link w:val="Number5Char"/>
    <w:uiPriority w:val="11"/>
    <w:semiHidden/>
    <w:rsid w:val="00C10036"/>
    <w:pPr>
      <w:numPr>
        <w:ilvl w:val="4"/>
        <w:numId w:val="20"/>
      </w:numPr>
      <w:jc w:val="left"/>
      <w:outlineLvl w:val="4"/>
    </w:pPr>
    <w:rPr>
      <w:rFonts w:ascii="Times New Roman" w:hAnsi="Times New Roman" w:cs="Times New Roman"/>
      <w:sz w:val="24"/>
      <w:szCs w:val="21"/>
    </w:rPr>
  </w:style>
  <w:style w:type="character" w:customStyle="1" w:styleId="Number5Char">
    <w:name w:val="Number 5 Char"/>
    <w:basedOn w:val="BodyTextChar"/>
    <w:link w:val="Number5"/>
    <w:uiPriority w:val="11"/>
    <w:semiHidden/>
    <w:rsid w:val="00C10036"/>
    <w:rPr>
      <w:rFonts w:ascii="Times New Roman" w:hAnsi="Times New Roman" w:cs="Times New Roman"/>
      <w:sz w:val="24"/>
      <w:szCs w:val="21"/>
      <w:lang w:val="en-CA"/>
    </w:rPr>
  </w:style>
  <w:style w:type="paragraph" w:customStyle="1" w:styleId="Number4">
    <w:name w:val="Number 4"/>
    <w:basedOn w:val="Normal"/>
    <w:uiPriority w:val="11"/>
    <w:semiHidden/>
    <w:rsid w:val="00C10036"/>
    <w:pPr>
      <w:numPr>
        <w:ilvl w:val="3"/>
        <w:numId w:val="20"/>
      </w:numPr>
      <w:jc w:val="left"/>
      <w:outlineLvl w:val="3"/>
    </w:pPr>
    <w:rPr>
      <w:rFonts w:ascii="Times New Roman" w:hAnsi="Times New Roman" w:cs="Times New Roman"/>
      <w:sz w:val="24"/>
      <w:szCs w:val="21"/>
    </w:rPr>
  </w:style>
  <w:style w:type="paragraph" w:customStyle="1" w:styleId="Number3">
    <w:name w:val="Number 3"/>
    <w:basedOn w:val="Normal"/>
    <w:uiPriority w:val="11"/>
    <w:rsid w:val="00C10036"/>
    <w:pPr>
      <w:numPr>
        <w:ilvl w:val="2"/>
        <w:numId w:val="20"/>
      </w:numPr>
      <w:suppressAutoHyphens/>
      <w:jc w:val="left"/>
    </w:pPr>
    <w:rPr>
      <w:rFonts w:cs="Times New Roman"/>
      <w:sz w:val="21"/>
      <w:szCs w:val="21"/>
    </w:rPr>
  </w:style>
  <w:style w:type="paragraph" w:customStyle="1" w:styleId="Number2">
    <w:name w:val="Number 2"/>
    <w:basedOn w:val="Normal"/>
    <w:uiPriority w:val="11"/>
    <w:rsid w:val="00C10036"/>
    <w:pPr>
      <w:numPr>
        <w:ilvl w:val="1"/>
        <w:numId w:val="20"/>
      </w:numPr>
      <w:jc w:val="left"/>
    </w:pPr>
    <w:rPr>
      <w:rFonts w:cs="Times New Roman"/>
      <w:sz w:val="21"/>
      <w:szCs w:val="21"/>
    </w:rPr>
  </w:style>
  <w:style w:type="paragraph" w:customStyle="1" w:styleId="Number1">
    <w:name w:val="Number 1"/>
    <w:basedOn w:val="Normal"/>
    <w:link w:val="Number1Char"/>
    <w:uiPriority w:val="11"/>
    <w:qFormat/>
    <w:rsid w:val="00C10036"/>
    <w:pPr>
      <w:keepNext/>
      <w:jc w:val="left"/>
    </w:pPr>
    <w:rPr>
      <w:rFonts w:cs="Times New Roman"/>
      <w:sz w:val="21"/>
      <w:szCs w:val="21"/>
    </w:rPr>
  </w:style>
  <w:style w:type="character" w:customStyle="1" w:styleId="Number1Char">
    <w:name w:val="Number 1 Char"/>
    <w:basedOn w:val="BodyTextChar"/>
    <w:link w:val="Number1"/>
    <w:uiPriority w:val="11"/>
    <w:rsid w:val="00C10036"/>
    <w:rPr>
      <w:rFonts w:cs="Times New Roman"/>
      <w:sz w:val="21"/>
      <w:szCs w:val="21"/>
      <w:lang w:val="en-CA"/>
    </w:rPr>
  </w:style>
  <w:style w:type="paragraph" w:customStyle="1" w:styleId="Article2L1">
    <w:name w:val="Article2_L1"/>
    <w:basedOn w:val="Normal"/>
    <w:next w:val="Normal"/>
    <w:rsid w:val="00C10036"/>
    <w:pPr>
      <w:keepNext/>
      <w:numPr>
        <w:numId w:val="26"/>
      </w:numPr>
      <w:jc w:val="center"/>
      <w:outlineLvl w:val="0"/>
    </w:pPr>
    <w:rPr>
      <w:rFonts w:ascii="Times New Roman" w:eastAsia="Times New Roman" w:hAnsi="Times New Roman" w:cs="Times New Roman"/>
      <w:sz w:val="24"/>
      <w:szCs w:val="20"/>
      <w:lang w:eastAsia="en-CA"/>
    </w:rPr>
  </w:style>
  <w:style w:type="paragraph" w:customStyle="1" w:styleId="Article2L2">
    <w:name w:val="Article2_L2"/>
    <w:basedOn w:val="Article2L1"/>
    <w:next w:val="Normal"/>
    <w:rsid w:val="00C10036"/>
    <w:pPr>
      <w:keepNext w:val="0"/>
      <w:numPr>
        <w:ilvl w:val="1"/>
      </w:numPr>
      <w:jc w:val="left"/>
      <w:outlineLvl w:val="1"/>
    </w:pPr>
  </w:style>
  <w:style w:type="paragraph" w:customStyle="1" w:styleId="Article2L3">
    <w:name w:val="Article2_L3"/>
    <w:basedOn w:val="Article2L2"/>
    <w:next w:val="Normal"/>
    <w:rsid w:val="00C10036"/>
    <w:pPr>
      <w:numPr>
        <w:ilvl w:val="2"/>
      </w:numPr>
      <w:outlineLvl w:val="2"/>
    </w:pPr>
  </w:style>
  <w:style w:type="paragraph" w:customStyle="1" w:styleId="Article2L4">
    <w:name w:val="Article2_L4"/>
    <w:basedOn w:val="Article2L3"/>
    <w:next w:val="Normal"/>
    <w:rsid w:val="00C10036"/>
    <w:pPr>
      <w:numPr>
        <w:ilvl w:val="3"/>
      </w:numPr>
      <w:outlineLvl w:val="3"/>
    </w:pPr>
  </w:style>
  <w:style w:type="paragraph" w:customStyle="1" w:styleId="Article2L5">
    <w:name w:val="Article2_L5"/>
    <w:basedOn w:val="Article2L4"/>
    <w:next w:val="Normal"/>
    <w:rsid w:val="00C10036"/>
    <w:pPr>
      <w:numPr>
        <w:ilvl w:val="4"/>
      </w:numPr>
      <w:outlineLvl w:val="4"/>
    </w:pPr>
  </w:style>
  <w:style w:type="paragraph" w:customStyle="1" w:styleId="Article2L6">
    <w:name w:val="Article2_L6"/>
    <w:basedOn w:val="Article2L5"/>
    <w:next w:val="Normal"/>
    <w:rsid w:val="00C10036"/>
    <w:pPr>
      <w:numPr>
        <w:ilvl w:val="5"/>
      </w:numPr>
      <w:outlineLvl w:val="5"/>
    </w:pPr>
  </w:style>
  <w:style w:type="table" w:customStyle="1" w:styleId="TableGrid1">
    <w:name w:val="Table Grid1"/>
    <w:basedOn w:val="TableNormal"/>
    <w:next w:val="TableGrid"/>
    <w:uiPriority w:val="59"/>
    <w:rsid w:val="00C10036"/>
    <w:pPr>
      <w:jc w:val="left"/>
    </w:pPr>
    <w:rPr>
      <w:rFonts w:ascii="Arial" w:eastAsia="Arial" w:hAnsi="Arial" w:cs="Times New Roman"/>
      <w:szCs w:val="21"/>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16907">
      <w:bodyDiv w:val="1"/>
      <w:marLeft w:val="0"/>
      <w:marRight w:val="0"/>
      <w:marTop w:val="0"/>
      <w:marBottom w:val="0"/>
      <w:divBdr>
        <w:top w:val="none" w:sz="0" w:space="0" w:color="auto"/>
        <w:left w:val="none" w:sz="0" w:space="0" w:color="auto"/>
        <w:bottom w:val="none" w:sz="0" w:space="0" w:color="auto"/>
        <w:right w:val="none" w:sz="0" w:space="0" w:color="auto"/>
      </w:divBdr>
    </w:div>
    <w:div w:id="1414550013">
      <w:bodyDiv w:val="1"/>
      <w:marLeft w:val="0"/>
      <w:marRight w:val="0"/>
      <w:marTop w:val="0"/>
      <w:marBottom w:val="0"/>
      <w:divBdr>
        <w:top w:val="none" w:sz="0" w:space="0" w:color="auto"/>
        <w:left w:val="none" w:sz="0" w:space="0" w:color="auto"/>
        <w:bottom w:val="none" w:sz="0" w:space="0" w:color="auto"/>
        <w:right w:val="none" w:sz="0" w:space="0" w:color="auto"/>
      </w:divBdr>
    </w:div>
    <w:div w:id="16673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info@barrantagh.com" TargetMode="External"/><Relationship Id="rId26" Type="http://schemas.openxmlformats.org/officeDocument/2006/relationships/footer" Target="footer6.xml"/><Relationship Id="rId39" Type="http://schemas.openxmlformats.org/officeDocument/2006/relationships/footer" Target="footer14.xml"/><Relationship Id="rId21" Type="http://schemas.openxmlformats.org/officeDocument/2006/relationships/hyperlink" Target="http://www.sedar.com" TargetMode="External"/><Relationship Id="rId34"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sedar.com/" TargetMode="Externa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Barrantagh.com" TargetMode="External"/><Relationship Id="rId28" Type="http://schemas.openxmlformats.org/officeDocument/2006/relationships/header" Target="header8.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yperlink" Target="http://www.Barrantagh.com"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sedar.com"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yperlink" Target="http://www.Barrantagh.com" TargetMode="External"/><Relationship Id="rId38" Type="http://schemas.openxmlformats.org/officeDocument/2006/relationships/header" Target="header11.xml"/></Relationships>
</file>

<file path=word/theme/theme1.xml><?xml version="1.0" encoding="utf-8"?>
<a:theme xmlns:a="http://schemas.openxmlformats.org/drawingml/2006/main" name="Blakes">
  <a:themeElements>
    <a:clrScheme name="Blakes">
      <a:dk1>
        <a:srgbClr val="0F0F0F"/>
      </a:dk1>
      <a:lt1>
        <a:sysClr val="window" lastClr="FFFFFF"/>
      </a:lt1>
      <a:dk2>
        <a:srgbClr val="808285"/>
      </a:dk2>
      <a:lt2>
        <a:srgbClr val="FFFFFF"/>
      </a:lt2>
      <a:accent1>
        <a:srgbClr val="E31836"/>
      </a:accent1>
      <a:accent2>
        <a:srgbClr val="808285"/>
      </a:accent2>
      <a:accent3>
        <a:srgbClr val="D1D3D4"/>
      </a:accent3>
      <a:accent4>
        <a:srgbClr val="4E67C8"/>
      </a:accent4>
      <a:accent5>
        <a:srgbClr val="A7EA52"/>
      </a:accent5>
      <a:accent6>
        <a:srgbClr val="FF8021"/>
      </a:accent6>
      <a:hlink>
        <a:srgbClr val="0000FF"/>
      </a:hlink>
      <a:folHlink>
        <a:srgbClr val="800080"/>
      </a:folHlink>
    </a:clrScheme>
    <a:fontScheme name="Blak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1D23-78AA-4EB7-9A23-B2812737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18157</Words>
  <Characters>93649</Characters>
  <Application>Microsoft Office Word</Application>
  <DocSecurity>0</DocSecurity>
  <Lines>780</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Cheryl</dc:creator>
  <cp:keywords/>
  <dc:description/>
  <cp:lastModifiedBy>Andrews, Emilie</cp:lastModifiedBy>
  <cp:revision>16</cp:revision>
  <cp:lastPrinted>2018-12-19T15:47:00Z</cp:lastPrinted>
  <dcterms:created xsi:type="dcterms:W3CDTF">2023-05-08T18:59:00Z</dcterms:created>
  <dcterms:modified xsi:type="dcterms:W3CDTF">2023-05-17T18:45:00Z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24658339.4</vt:lpwstr>
  </property>
  <property fmtid="{D5CDD505-2E9C-101B-9397-08002B2CF9AE}" pid="3" name="DocXLocation">
    <vt:lpwstr>End of Document</vt:lpwstr>
  </property>
  <property fmtid="{D5CDD505-2E9C-101B-9397-08002B2CF9AE}" pid="4" name="DocXFormat">
    <vt:lpwstr>Blakes DocID</vt:lpwstr>
  </property>
  <property fmtid="{D5CDD505-2E9C-101B-9397-08002B2CF9AE}" pid="5" name="DocXRemovePrint">
    <vt:lpwstr>False</vt:lpwstr>
  </property>
</Properties>
</file>